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61" w:rsidRPr="00A37554" w:rsidRDefault="00647161" w:rsidP="004A1652">
      <w:pPr>
        <w:spacing w:before="60" w:after="60" w:line="257" w:lineRule="auto"/>
        <w:jc w:val="center"/>
        <w:rPr>
          <w:rFonts w:ascii="Times New Roman" w:hAnsi="Times New Roman" w:cs="Times New Roman"/>
          <w:b/>
          <w:color w:val="1F3864" w:themeColor="accent5" w:themeShade="80"/>
          <w:sz w:val="28"/>
          <w:szCs w:val="28"/>
          <w:lang w:val="uz-Cyrl-UZ"/>
        </w:rPr>
      </w:pPr>
      <w:r w:rsidRPr="00A37554">
        <w:rPr>
          <w:rFonts w:ascii="Times New Roman" w:hAnsi="Times New Roman" w:cs="Times New Roman"/>
          <w:b/>
          <w:color w:val="1F3864" w:themeColor="accent5" w:themeShade="80"/>
          <w:sz w:val="28"/>
          <w:szCs w:val="28"/>
          <w:lang w:val="uz-Cyrl-UZ"/>
        </w:rPr>
        <w:t>Қишл</w:t>
      </w:r>
      <w:bookmarkStart w:id="0" w:name="_GoBack"/>
      <w:bookmarkEnd w:id="0"/>
      <w:r w:rsidRPr="00A37554">
        <w:rPr>
          <w:rFonts w:ascii="Times New Roman" w:hAnsi="Times New Roman" w:cs="Times New Roman"/>
          <w:b/>
          <w:color w:val="1F3864" w:themeColor="accent5" w:themeShade="80"/>
          <w:sz w:val="28"/>
          <w:szCs w:val="28"/>
          <w:lang w:val="uz-Cyrl-UZ"/>
        </w:rPr>
        <w:t>оқ хўжалиги вазирлиги Ички аудит бошқармаси томонидан 2024 йилда амалга оширилган ишлар тўғрисида</w:t>
      </w:r>
    </w:p>
    <w:p w:rsidR="00647161" w:rsidRPr="00A37554" w:rsidRDefault="00647161" w:rsidP="004A1652">
      <w:pPr>
        <w:spacing w:before="60" w:after="60" w:line="257" w:lineRule="auto"/>
        <w:jc w:val="center"/>
        <w:rPr>
          <w:rFonts w:ascii="Times New Roman" w:hAnsi="Times New Roman" w:cs="Times New Roman"/>
          <w:b/>
          <w:color w:val="1F3864" w:themeColor="accent5" w:themeShade="80"/>
          <w:sz w:val="28"/>
          <w:szCs w:val="28"/>
          <w:lang w:val="uz-Cyrl-UZ"/>
        </w:rPr>
      </w:pPr>
      <w:r w:rsidRPr="00A37554">
        <w:rPr>
          <w:rFonts w:ascii="Times New Roman" w:hAnsi="Times New Roman" w:cs="Times New Roman"/>
          <w:b/>
          <w:color w:val="1F3864" w:themeColor="accent5" w:themeShade="80"/>
          <w:sz w:val="28"/>
          <w:szCs w:val="28"/>
          <w:lang w:val="uz-Cyrl-UZ"/>
        </w:rPr>
        <w:t>МАЪЛУМОТ</w:t>
      </w:r>
    </w:p>
    <w:p w:rsidR="00647161" w:rsidRPr="00A37554" w:rsidRDefault="00647161" w:rsidP="004A1652">
      <w:pPr>
        <w:spacing w:before="60" w:after="60" w:line="257" w:lineRule="auto"/>
        <w:ind w:firstLine="709"/>
        <w:jc w:val="both"/>
        <w:rPr>
          <w:rFonts w:ascii="Times New Roman" w:hAnsi="Times New Roman" w:cs="Times New Roman"/>
          <w:sz w:val="28"/>
          <w:szCs w:val="28"/>
          <w:lang w:val="uz-Cyrl-UZ"/>
        </w:rPr>
      </w:pPr>
    </w:p>
    <w:p w:rsidR="0041069D" w:rsidRPr="00A37554" w:rsidRDefault="0041069D"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 xml:space="preserve">Ўзбекистон Республикаси Ҳисоб палатаси, Бош прокуратура, Қишлоқ хўжалиги вазирлиги ҳамда Иқтисодиёт ва молия вазирлигининг 2024 йил 12 февралдаги “Қишлоқ хўжалиги вазирлиги тизимида бюджет тизими бюджетларининг маблағларини мақсадли ва самарали ишлатилиши устидан мониторинг ва назорат тизимини ўрнатиш тўғрисида” Қўшма қарори </w:t>
      </w:r>
      <w:r w:rsidR="0049678F" w:rsidRPr="00A37554">
        <w:rPr>
          <w:rFonts w:ascii="Times New Roman" w:hAnsi="Times New Roman" w:cs="Times New Roman"/>
          <w:sz w:val="28"/>
          <w:szCs w:val="28"/>
          <w:lang w:val="uz-Cyrl-UZ"/>
        </w:rPr>
        <w:t>ҳамда</w:t>
      </w:r>
      <w:r w:rsidRPr="00A37554">
        <w:rPr>
          <w:rFonts w:ascii="Times New Roman" w:hAnsi="Times New Roman" w:cs="Times New Roman"/>
          <w:sz w:val="28"/>
          <w:szCs w:val="28"/>
          <w:lang w:val="uz-Cyrl-UZ"/>
        </w:rPr>
        <w:t xml:space="preserve"> бу билан “Йўл харитаси” тасдиқланган.</w:t>
      </w:r>
    </w:p>
    <w:p w:rsidR="00D603FF" w:rsidRPr="00A37554" w:rsidRDefault="0049678F"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Бунда, д</w:t>
      </w:r>
      <w:r w:rsidR="00D603FF" w:rsidRPr="00A37554">
        <w:rPr>
          <w:rFonts w:ascii="Times New Roman" w:hAnsi="Times New Roman" w:cs="Times New Roman"/>
          <w:sz w:val="28"/>
          <w:szCs w:val="28"/>
          <w:lang w:val="uz-Cyrl-UZ"/>
        </w:rPr>
        <w:t xml:space="preserve">астлаб </w:t>
      </w:r>
      <w:r w:rsidRPr="00A37554">
        <w:rPr>
          <w:rFonts w:ascii="Times New Roman" w:hAnsi="Times New Roman" w:cs="Times New Roman"/>
          <w:sz w:val="28"/>
          <w:szCs w:val="28"/>
          <w:lang w:val="uz-Cyrl-UZ"/>
        </w:rPr>
        <w:t xml:space="preserve">соҳада бюджет интизомини таъминлаш мақсадида вазирлик </w:t>
      </w:r>
      <w:r w:rsidR="00D603FF" w:rsidRPr="00A37554">
        <w:rPr>
          <w:rFonts w:ascii="Times New Roman" w:hAnsi="Times New Roman" w:cs="Times New Roman"/>
          <w:sz w:val="28"/>
          <w:szCs w:val="28"/>
          <w:lang w:val="uz-Cyrl-UZ"/>
        </w:rPr>
        <w:t xml:space="preserve">ички аудит хизмати такомиллаштирилиб, </w:t>
      </w:r>
      <w:r w:rsidR="00D603FF" w:rsidRPr="00A37554">
        <w:rPr>
          <w:rFonts w:ascii="Times New Roman" w:hAnsi="Times New Roman" w:cs="Times New Roman"/>
          <w:b/>
          <w:color w:val="1F3864" w:themeColor="accent5" w:themeShade="80"/>
          <w:sz w:val="28"/>
          <w:szCs w:val="28"/>
          <w:lang w:val="uz-Cyrl-UZ"/>
        </w:rPr>
        <w:t>5 штат</w:t>
      </w:r>
      <w:r w:rsidR="00D603FF" w:rsidRPr="00A37554">
        <w:rPr>
          <w:rFonts w:ascii="Times New Roman" w:hAnsi="Times New Roman" w:cs="Times New Roman"/>
          <w:sz w:val="28"/>
          <w:szCs w:val="28"/>
          <w:lang w:val="uz-Cyrl-UZ"/>
        </w:rPr>
        <w:t xml:space="preserve"> бирлигидан иборат Ички аудит бўлими негизида </w:t>
      </w:r>
      <w:r w:rsidR="00D603FF" w:rsidRPr="00A37554">
        <w:rPr>
          <w:rFonts w:ascii="Times New Roman" w:hAnsi="Times New Roman" w:cs="Times New Roman"/>
          <w:b/>
          <w:color w:val="1F3864" w:themeColor="accent5" w:themeShade="80"/>
          <w:sz w:val="28"/>
          <w:szCs w:val="28"/>
          <w:lang w:val="uz-Cyrl-UZ"/>
        </w:rPr>
        <w:t>11 штат</w:t>
      </w:r>
      <w:r w:rsidR="00D603FF" w:rsidRPr="00A37554">
        <w:rPr>
          <w:rFonts w:ascii="Times New Roman" w:hAnsi="Times New Roman" w:cs="Times New Roman"/>
          <w:sz w:val="28"/>
          <w:szCs w:val="28"/>
          <w:lang w:val="uz-Cyrl-UZ"/>
        </w:rPr>
        <w:t xml:space="preserve"> бирлигида Ички аудит бошқармаси ташкил этилиб, </w:t>
      </w:r>
      <w:r w:rsidR="00647161" w:rsidRPr="00A37554">
        <w:rPr>
          <w:rFonts w:ascii="Times New Roman" w:hAnsi="Times New Roman" w:cs="Times New Roman"/>
          <w:sz w:val="28"/>
          <w:szCs w:val="28"/>
          <w:lang w:val="uz-Cyrl-UZ"/>
        </w:rPr>
        <w:t xml:space="preserve">ички аудит </w:t>
      </w:r>
      <w:r w:rsidR="00D603FF" w:rsidRPr="00A37554">
        <w:rPr>
          <w:rFonts w:ascii="Times New Roman" w:hAnsi="Times New Roman" w:cs="Times New Roman"/>
          <w:sz w:val="28"/>
          <w:szCs w:val="28"/>
          <w:lang w:val="uz-Cyrl-UZ"/>
        </w:rPr>
        <w:t>миллий малака сертификатига эга ходимлар билан тўлдирилди.</w:t>
      </w:r>
    </w:p>
    <w:p w:rsidR="00D603FF" w:rsidRPr="00A37554" w:rsidRDefault="0049678F"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Ушбу</w:t>
      </w:r>
      <w:r w:rsidR="00D603FF" w:rsidRPr="00A37554">
        <w:rPr>
          <w:rFonts w:ascii="Times New Roman" w:hAnsi="Times New Roman" w:cs="Times New Roman"/>
          <w:sz w:val="28"/>
          <w:szCs w:val="28"/>
          <w:lang w:val="uz-Cyrl-UZ"/>
        </w:rPr>
        <w:t xml:space="preserve"> </w:t>
      </w:r>
      <w:r w:rsidRPr="00A37554">
        <w:rPr>
          <w:rFonts w:ascii="Times New Roman" w:hAnsi="Times New Roman" w:cs="Times New Roman"/>
          <w:sz w:val="28"/>
          <w:szCs w:val="28"/>
          <w:lang w:val="uz-Cyrl-UZ"/>
        </w:rPr>
        <w:t>б</w:t>
      </w:r>
      <w:r w:rsidR="00D603FF" w:rsidRPr="00A37554">
        <w:rPr>
          <w:rFonts w:ascii="Times New Roman" w:hAnsi="Times New Roman" w:cs="Times New Roman"/>
          <w:sz w:val="28"/>
          <w:szCs w:val="28"/>
          <w:lang w:val="uz-Cyrl-UZ"/>
        </w:rPr>
        <w:t>ошқармада Масофавий аудитни амалга ошириш ва хавф-хатарларни баҳолаш бўлими ҳамда Бюджет қонунчилигига риоя этилиши устидан назоратни амалга ошириш бўлими ташкил қилинган.</w:t>
      </w:r>
    </w:p>
    <w:p w:rsidR="00790564" w:rsidRPr="00A37554" w:rsidRDefault="00790564"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Ҳисоб палатаси, Бош прокуратура, Коррупцияга қарши курашиш агентлиги, Иқтисодиёт ва молия вазирлиги масъул ходимлари, Европа иттифоқи “ASK Faсility” лойиҳаси халқаро экспертлар иштирокида бухгалтерия, молиялаштириш ва режалаштириш, ички аудит ҳамда комплаенс назорати ходимларига 2024 йилда бюджетдан соҳага ажратилаётган маблағлар мақсадли ва самарали сарфланиши юзасидан ўқув амалий семинари ташкил этилди.</w:t>
      </w:r>
    </w:p>
    <w:p w:rsidR="00CB37BC" w:rsidRPr="00A37554" w:rsidRDefault="00CB37BC" w:rsidP="00CB37BC">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Шу каби, тизим ташкилотлардаги мавжуд ички аудит хизматларининг фаолияти юзасидан ўқув-семинар йиғилишлари ташкил этиб келинмоқда.</w:t>
      </w:r>
    </w:p>
    <w:p w:rsidR="00CB37BC" w:rsidRPr="00A37554" w:rsidRDefault="00CB37BC" w:rsidP="00CB37BC">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Бундан ташқари, Ички аудит бошқармаси ходимлари тизимли равишда тасдиқланган графикка мувофиқ Иқтисодиёт ва молия вазирлиги ҳузуридаги Молия органлари ҳамда бюджет ташкилотларининг молия-ҳисоб бўлинмалари ходимларини тайёрлаш ва қайта тайёрлаш ўқув марказида малака ошириши таъминланмоқда.</w:t>
      </w:r>
    </w:p>
    <w:p w:rsidR="00647161" w:rsidRPr="00A37554" w:rsidRDefault="00CB37BC"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В</w:t>
      </w:r>
      <w:r w:rsidR="00647161" w:rsidRPr="00A37554">
        <w:rPr>
          <w:rFonts w:ascii="Times New Roman" w:hAnsi="Times New Roman" w:cs="Times New Roman"/>
          <w:sz w:val="28"/>
          <w:szCs w:val="28"/>
          <w:lang w:val="uz-Cyrl-UZ"/>
        </w:rPr>
        <w:t>азирликда молиявий рискларни таҳлил қилиш имконини берадиган “</w:t>
      </w:r>
      <w:r w:rsidR="00647161" w:rsidRPr="00A37554">
        <w:rPr>
          <w:rFonts w:ascii="Times New Roman" w:hAnsi="Times New Roman" w:cs="Times New Roman"/>
          <w:b/>
          <w:color w:val="1F3864" w:themeColor="accent5" w:themeShade="80"/>
          <w:sz w:val="28"/>
          <w:szCs w:val="28"/>
          <w:lang w:val="uz-Cyrl-UZ"/>
        </w:rPr>
        <w:t>Ситуацион марказ</w:t>
      </w:r>
      <w:r w:rsidR="00647161" w:rsidRPr="00A37554">
        <w:rPr>
          <w:rFonts w:ascii="Times New Roman" w:hAnsi="Times New Roman" w:cs="Times New Roman"/>
          <w:sz w:val="28"/>
          <w:szCs w:val="28"/>
          <w:lang w:val="uz-Cyrl-UZ"/>
        </w:rPr>
        <w:t>” ташкил этилди ҳамда Ҳисоб палатасининг “</w:t>
      </w:r>
      <w:r w:rsidR="00647161" w:rsidRPr="00A37554">
        <w:rPr>
          <w:rFonts w:ascii="Times New Roman" w:hAnsi="Times New Roman" w:cs="Times New Roman"/>
          <w:b/>
          <w:color w:val="1F3864" w:themeColor="accent5" w:themeShade="80"/>
          <w:sz w:val="28"/>
          <w:szCs w:val="28"/>
          <w:lang w:val="uz-Cyrl-UZ"/>
        </w:rPr>
        <w:t>Масофавий аудит</w:t>
      </w:r>
      <w:r w:rsidR="00647161" w:rsidRPr="00A37554">
        <w:rPr>
          <w:rFonts w:ascii="Times New Roman" w:hAnsi="Times New Roman" w:cs="Times New Roman"/>
          <w:sz w:val="28"/>
          <w:szCs w:val="28"/>
          <w:lang w:val="uz-Cyrl-UZ"/>
        </w:rPr>
        <w:t>” ахборот тизимига интеграция қилинди.</w:t>
      </w:r>
    </w:p>
    <w:p w:rsidR="00647161" w:rsidRPr="00A37554" w:rsidRDefault="0049678F"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Шунингдек, хизматда фойдаланиш учун “</w:t>
      </w:r>
      <w:r w:rsidRPr="00A37554">
        <w:rPr>
          <w:rFonts w:ascii="Times New Roman" w:hAnsi="Times New Roman" w:cs="Times New Roman"/>
          <w:b/>
          <w:color w:val="1F3864" w:themeColor="accent5" w:themeShade="80"/>
          <w:sz w:val="28"/>
          <w:szCs w:val="28"/>
          <w:lang w:val="uz-Cyrl-UZ"/>
        </w:rPr>
        <w:t>E-ijara</w:t>
      </w:r>
      <w:r w:rsidRPr="00A37554">
        <w:rPr>
          <w:rFonts w:ascii="Times New Roman" w:hAnsi="Times New Roman" w:cs="Times New Roman"/>
          <w:sz w:val="28"/>
          <w:szCs w:val="28"/>
          <w:lang w:val="uz-Cyrl-UZ"/>
        </w:rPr>
        <w:t>”, “</w:t>
      </w:r>
      <w:r w:rsidRPr="00A37554">
        <w:rPr>
          <w:rFonts w:ascii="Times New Roman" w:hAnsi="Times New Roman" w:cs="Times New Roman"/>
          <w:b/>
          <w:color w:val="1F3864" w:themeColor="accent5" w:themeShade="80"/>
          <w:sz w:val="28"/>
          <w:szCs w:val="28"/>
          <w:lang w:val="uz-Cyrl-UZ"/>
        </w:rPr>
        <w:t>Geoaxborot</w:t>
      </w:r>
      <w:r w:rsidRPr="00A37554">
        <w:rPr>
          <w:rFonts w:ascii="Times New Roman" w:hAnsi="Times New Roman" w:cs="Times New Roman"/>
          <w:sz w:val="28"/>
          <w:szCs w:val="28"/>
          <w:lang w:val="uz-Cyrl-UZ"/>
        </w:rPr>
        <w:t>”, “</w:t>
      </w:r>
      <w:r w:rsidRPr="00A37554">
        <w:rPr>
          <w:rFonts w:ascii="Times New Roman" w:hAnsi="Times New Roman" w:cs="Times New Roman"/>
          <w:b/>
          <w:color w:val="1F3864" w:themeColor="accent5" w:themeShade="80"/>
          <w:sz w:val="28"/>
          <w:szCs w:val="28"/>
          <w:lang w:val="uz-Cyrl-UZ"/>
        </w:rPr>
        <w:t>Agrosubsidiya</w:t>
      </w:r>
      <w:r w:rsidRPr="00A37554">
        <w:rPr>
          <w:rFonts w:ascii="Times New Roman" w:hAnsi="Times New Roman" w:cs="Times New Roman"/>
          <w:sz w:val="28"/>
          <w:szCs w:val="28"/>
          <w:lang w:val="uz-Cyrl-UZ"/>
        </w:rPr>
        <w:t>”, “</w:t>
      </w:r>
      <w:r w:rsidRPr="00A37554">
        <w:rPr>
          <w:rFonts w:ascii="Times New Roman" w:hAnsi="Times New Roman" w:cs="Times New Roman"/>
          <w:b/>
          <w:color w:val="1F3864" w:themeColor="accent5" w:themeShade="80"/>
          <w:sz w:val="28"/>
          <w:szCs w:val="28"/>
          <w:lang w:val="uz-Cyrl-UZ"/>
        </w:rPr>
        <w:t>Agroplatforma</w:t>
      </w:r>
      <w:r w:rsidRPr="00A37554">
        <w:rPr>
          <w:rFonts w:ascii="Times New Roman" w:hAnsi="Times New Roman" w:cs="Times New Roman"/>
          <w:sz w:val="28"/>
          <w:szCs w:val="28"/>
          <w:lang w:val="uz-Cyrl-UZ"/>
        </w:rPr>
        <w:t>” “</w:t>
      </w:r>
      <w:r w:rsidRPr="00A37554">
        <w:rPr>
          <w:rFonts w:ascii="Times New Roman" w:hAnsi="Times New Roman" w:cs="Times New Roman"/>
          <w:b/>
          <w:color w:val="1F3864" w:themeColor="accent5" w:themeShade="80"/>
          <w:sz w:val="28"/>
          <w:szCs w:val="28"/>
          <w:lang w:val="uz-Cyrl-UZ"/>
        </w:rPr>
        <w:t>CropAgro</w:t>
      </w:r>
      <w:r w:rsidRPr="00A37554">
        <w:rPr>
          <w:rFonts w:ascii="Times New Roman" w:hAnsi="Times New Roman" w:cs="Times New Roman"/>
          <w:sz w:val="28"/>
          <w:szCs w:val="28"/>
          <w:lang w:val="uz-Cyrl-UZ"/>
        </w:rPr>
        <w:t>” ва “</w:t>
      </w:r>
      <w:r w:rsidR="00EE2203" w:rsidRPr="00A37554">
        <w:rPr>
          <w:rFonts w:ascii="Times New Roman" w:hAnsi="Times New Roman" w:cs="Times New Roman"/>
          <w:b/>
          <w:color w:val="1F3864" w:themeColor="accent5" w:themeShade="80"/>
          <w:sz w:val="28"/>
          <w:szCs w:val="28"/>
          <w:lang w:val="uz-Cyrl-UZ"/>
        </w:rPr>
        <w:t>My</w:t>
      </w:r>
      <w:r w:rsidRPr="00A37554">
        <w:rPr>
          <w:rFonts w:ascii="Times New Roman" w:hAnsi="Times New Roman" w:cs="Times New Roman"/>
          <w:b/>
          <w:color w:val="1F3864" w:themeColor="accent5" w:themeShade="80"/>
          <w:sz w:val="28"/>
          <w:szCs w:val="28"/>
          <w:lang w:val="uz-Cyrl-UZ"/>
        </w:rPr>
        <w:t>.vetgov.uz</w:t>
      </w:r>
      <w:r w:rsidRPr="00A37554">
        <w:rPr>
          <w:rFonts w:ascii="Times New Roman" w:hAnsi="Times New Roman" w:cs="Times New Roman"/>
          <w:sz w:val="28"/>
          <w:szCs w:val="28"/>
          <w:lang w:val="uz-Cyrl-UZ"/>
        </w:rPr>
        <w:t xml:space="preserve">” АТда </w:t>
      </w:r>
      <w:r w:rsidR="002B2EE5" w:rsidRPr="00A37554">
        <w:rPr>
          <w:rFonts w:ascii="Times New Roman" w:hAnsi="Times New Roman" w:cs="Times New Roman"/>
          <w:sz w:val="28"/>
          <w:szCs w:val="28"/>
          <w:lang w:val="uz-Cyrl-UZ"/>
        </w:rPr>
        <w:t>молиявий таҳлиллар ўтказиш имкониятлари яратилди.</w:t>
      </w:r>
    </w:p>
    <w:p w:rsidR="00F566DA" w:rsidRPr="00A37554" w:rsidRDefault="00FB0C96"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 xml:space="preserve">Соҳага 2024 йилда ажратилган бюджет ва бюджетдан ташқари маблағларнинг мақсадли ва самарали сарфланиши юзасидан </w:t>
      </w:r>
      <w:r w:rsidR="00F566DA" w:rsidRPr="00A37554">
        <w:rPr>
          <w:rFonts w:ascii="Times New Roman" w:hAnsi="Times New Roman" w:cs="Times New Roman"/>
          <w:sz w:val="28"/>
          <w:szCs w:val="28"/>
          <w:lang w:val="uz-Cyrl-UZ"/>
        </w:rPr>
        <w:t xml:space="preserve">дастлаб тизим </w:t>
      </w:r>
      <w:r w:rsidR="00F566DA" w:rsidRPr="00A37554">
        <w:rPr>
          <w:rFonts w:ascii="Times New Roman" w:hAnsi="Times New Roman" w:cs="Times New Roman"/>
          <w:sz w:val="28"/>
          <w:szCs w:val="28"/>
          <w:lang w:val="uz-Cyrl-UZ"/>
        </w:rPr>
        <w:lastRenderedPageBreak/>
        <w:t xml:space="preserve">ташкилотларнинг харажатлар сметаси тасдиқланишидан олдин ўрганилиши таъминланди, бунинг натижасида </w:t>
      </w:r>
      <w:r w:rsidR="00900B07" w:rsidRPr="00A37554">
        <w:rPr>
          <w:rFonts w:ascii="Times New Roman" w:hAnsi="Times New Roman" w:cs="Times New Roman"/>
          <w:b/>
          <w:color w:val="1F3864" w:themeColor="accent5" w:themeShade="80"/>
          <w:sz w:val="28"/>
          <w:szCs w:val="28"/>
          <w:lang w:val="uz-Cyrl-UZ"/>
        </w:rPr>
        <w:t>58,7 млрд</w:t>
      </w:r>
      <w:r w:rsidR="00900B07" w:rsidRPr="00A37554">
        <w:rPr>
          <w:rFonts w:ascii="Times New Roman" w:hAnsi="Times New Roman" w:cs="Times New Roman"/>
          <w:sz w:val="28"/>
          <w:szCs w:val="28"/>
          <w:lang w:val="uz-Cyrl-UZ"/>
        </w:rPr>
        <w:t xml:space="preserve"> сўм </w:t>
      </w:r>
      <w:r w:rsidR="00F566DA" w:rsidRPr="00A37554">
        <w:rPr>
          <w:rFonts w:ascii="Times New Roman" w:hAnsi="Times New Roman" w:cs="Times New Roman"/>
          <w:sz w:val="28"/>
          <w:szCs w:val="28"/>
          <w:lang w:val="uz-Cyrl-UZ"/>
        </w:rPr>
        <w:t xml:space="preserve">маблағлар ҳамда </w:t>
      </w:r>
      <w:r w:rsidR="00790564" w:rsidRPr="00A37554">
        <w:rPr>
          <w:rFonts w:ascii="Times New Roman" w:hAnsi="Times New Roman" w:cs="Times New Roman"/>
          <w:sz w:val="28"/>
          <w:szCs w:val="28"/>
          <w:lang w:val="uz-Cyrl-UZ"/>
        </w:rPr>
        <w:t xml:space="preserve">57 та </w:t>
      </w:r>
      <w:r w:rsidR="00F566DA" w:rsidRPr="00A37554">
        <w:rPr>
          <w:rFonts w:ascii="Times New Roman" w:hAnsi="Times New Roman" w:cs="Times New Roman"/>
          <w:sz w:val="28"/>
          <w:szCs w:val="28"/>
          <w:lang w:val="uz-Cyrl-UZ"/>
        </w:rPr>
        <w:t xml:space="preserve">штатлар мақбуллаштирилиб, </w:t>
      </w:r>
      <w:r w:rsidR="00790564" w:rsidRPr="00A37554">
        <w:rPr>
          <w:rFonts w:ascii="Times New Roman" w:hAnsi="Times New Roman" w:cs="Times New Roman"/>
          <w:b/>
          <w:color w:val="1F3864" w:themeColor="accent5" w:themeShade="80"/>
          <w:sz w:val="28"/>
          <w:szCs w:val="28"/>
          <w:lang w:val="uz-Cyrl-UZ"/>
        </w:rPr>
        <w:t>17,5 млрд</w:t>
      </w:r>
      <w:r w:rsidR="00790564" w:rsidRPr="00A37554">
        <w:rPr>
          <w:rFonts w:ascii="Times New Roman" w:hAnsi="Times New Roman" w:cs="Times New Roman"/>
          <w:sz w:val="28"/>
          <w:szCs w:val="28"/>
          <w:lang w:val="uz-Cyrl-UZ"/>
        </w:rPr>
        <w:t xml:space="preserve"> сўми </w:t>
      </w:r>
      <w:r w:rsidR="00F566DA" w:rsidRPr="00A37554">
        <w:rPr>
          <w:rFonts w:ascii="Times New Roman" w:hAnsi="Times New Roman" w:cs="Times New Roman"/>
          <w:sz w:val="28"/>
          <w:szCs w:val="28"/>
          <w:lang w:val="uz-Cyrl-UZ"/>
        </w:rPr>
        <w:t>зарур йўналишларга йўналтирилди.</w:t>
      </w:r>
    </w:p>
    <w:p w:rsidR="000E01F5" w:rsidRPr="00A37554" w:rsidRDefault="000E01F5"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 xml:space="preserve">Ички аудит бошқармасининг </w:t>
      </w:r>
      <w:r w:rsidRPr="00A37554">
        <w:rPr>
          <w:rFonts w:ascii="Times New Roman" w:hAnsi="Times New Roman" w:cs="Times New Roman"/>
          <w:b/>
          <w:color w:val="1F3864" w:themeColor="accent5" w:themeShade="80"/>
          <w:sz w:val="28"/>
          <w:szCs w:val="28"/>
          <w:lang w:val="uz-Cyrl-UZ"/>
        </w:rPr>
        <w:t>2024 йилда</w:t>
      </w:r>
      <w:r w:rsidRPr="00A37554">
        <w:rPr>
          <w:rFonts w:ascii="Times New Roman" w:hAnsi="Times New Roman" w:cs="Times New Roman"/>
          <w:sz w:val="28"/>
          <w:szCs w:val="28"/>
          <w:lang w:val="uz-Cyrl-UZ"/>
        </w:rPr>
        <w:t xml:space="preserve"> ички аудит тадбирларини ўтказиш </w:t>
      </w:r>
      <w:r w:rsidRPr="00A37554">
        <w:rPr>
          <w:rFonts w:ascii="Times New Roman" w:hAnsi="Times New Roman" w:cs="Times New Roman"/>
          <w:b/>
          <w:color w:val="1F3864" w:themeColor="accent5" w:themeShade="80"/>
          <w:sz w:val="28"/>
          <w:szCs w:val="28"/>
          <w:lang w:val="uz-Cyrl-UZ"/>
        </w:rPr>
        <w:t>йиллик режаси</w:t>
      </w:r>
      <w:r w:rsidRPr="00A37554">
        <w:rPr>
          <w:rFonts w:ascii="Times New Roman" w:hAnsi="Times New Roman" w:cs="Times New Roman"/>
          <w:sz w:val="28"/>
          <w:szCs w:val="28"/>
          <w:lang w:val="uz-Cyrl-UZ"/>
        </w:rPr>
        <w:t xml:space="preserve"> тизим ташкилотларининг молиявий хавф-хатарлари асосида ишлаб чиқилди.</w:t>
      </w:r>
    </w:p>
    <w:p w:rsidR="000E01F5" w:rsidRPr="00A37554" w:rsidRDefault="000E01F5"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 xml:space="preserve">Бундан ташқари режадан ташқари ўрганишлар ташкил этишда ахборот технологияларни кенг қўллаган ҳолда </w:t>
      </w:r>
      <w:r w:rsidRPr="00A37554">
        <w:rPr>
          <w:rFonts w:ascii="Times New Roman" w:hAnsi="Times New Roman" w:cs="Times New Roman"/>
          <w:b/>
          <w:color w:val="1F3864" w:themeColor="accent5" w:themeShade="80"/>
          <w:sz w:val="28"/>
          <w:szCs w:val="28"/>
          <w:lang w:val="uz-Cyrl-UZ"/>
        </w:rPr>
        <w:t>дастлаб</w:t>
      </w:r>
      <w:r w:rsidRPr="00A37554">
        <w:rPr>
          <w:rFonts w:ascii="Times New Roman" w:hAnsi="Times New Roman" w:cs="Times New Roman"/>
          <w:sz w:val="28"/>
          <w:szCs w:val="28"/>
          <w:lang w:val="uz-Cyrl-UZ"/>
        </w:rPr>
        <w:t xml:space="preserve"> </w:t>
      </w:r>
      <w:r w:rsidR="00BB207F" w:rsidRPr="00A37554">
        <w:rPr>
          <w:rFonts w:ascii="Times New Roman" w:hAnsi="Times New Roman" w:cs="Times New Roman"/>
          <w:sz w:val="28"/>
          <w:szCs w:val="28"/>
          <w:lang w:val="uz-Cyrl-UZ"/>
        </w:rPr>
        <w:t xml:space="preserve">объект юзасидан </w:t>
      </w:r>
      <w:r w:rsidRPr="00A37554">
        <w:rPr>
          <w:rFonts w:ascii="Times New Roman" w:hAnsi="Times New Roman" w:cs="Times New Roman"/>
          <w:sz w:val="28"/>
          <w:szCs w:val="28"/>
          <w:lang w:val="uz-Cyrl-UZ"/>
        </w:rPr>
        <w:t>масофавий (камерал) аудит ташкил этиш механизми жорий этилди.</w:t>
      </w:r>
    </w:p>
    <w:p w:rsidR="00FB0C96" w:rsidRPr="00A37554" w:rsidRDefault="00BB207F"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 xml:space="preserve">Ўтган </w:t>
      </w:r>
      <w:r w:rsidRPr="00A37554">
        <w:rPr>
          <w:rFonts w:ascii="Times New Roman" w:hAnsi="Times New Roman" w:cs="Times New Roman"/>
          <w:b/>
          <w:color w:val="1F3864" w:themeColor="accent5" w:themeShade="80"/>
          <w:sz w:val="28"/>
          <w:szCs w:val="28"/>
          <w:lang w:val="uz-Cyrl-UZ"/>
        </w:rPr>
        <w:t>2024</w:t>
      </w:r>
      <w:r w:rsidR="000E01F5" w:rsidRPr="00A37554">
        <w:rPr>
          <w:rFonts w:ascii="Times New Roman" w:hAnsi="Times New Roman" w:cs="Times New Roman"/>
          <w:b/>
          <w:color w:val="1F3864" w:themeColor="accent5" w:themeShade="80"/>
          <w:sz w:val="28"/>
          <w:szCs w:val="28"/>
          <w:lang w:val="uz-Cyrl-UZ"/>
        </w:rPr>
        <w:t xml:space="preserve"> </w:t>
      </w:r>
      <w:r w:rsidR="003D2900" w:rsidRPr="00A37554">
        <w:rPr>
          <w:rFonts w:ascii="Times New Roman" w:hAnsi="Times New Roman" w:cs="Times New Roman"/>
          <w:b/>
          <w:color w:val="1F3864" w:themeColor="accent5" w:themeShade="80"/>
          <w:sz w:val="28"/>
          <w:szCs w:val="28"/>
          <w:lang w:val="uz-Cyrl-UZ"/>
        </w:rPr>
        <w:t>йил</w:t>
      </w:r>
      <w:r w:rsidR="003D2900" w:rsidRPr="00A37554">
        <w:rPr>
          <w:rFonts w:ascii="Times New Roman" w:hAnsi="Times New Roman" w:cs="Times New Roman"/>
          <w:sz w:val="28"/>
          <w:szCs w:val="28"/>
          <w:lang w:val="uz-Cyrl-UZ"/>
        </w:rPr>
        <w:t xml:space="preserve"> давомида </w:t>
      </w:r>
      <w:r w:rsidR="00F566DA" w:rsidRPr="00A37554">
        <w:rPr>
          <w:rFonts w:ascii="Times New Roman" w:hAnsi="Times New Roman" w:cs="Times New Roman"/>
          <w:b/>
          <w:color w:val="1F3864" w:themeColor="accent5" w:themeShade="80"/>
          <w:sz w:val="28"/>
          <w:szCs w:val="28"/>
          <w:lang w:val="uz-Cyrl-UZ"/>
        </w:rPr>
        <w:t>44</w:t>
      </w:r>
      <w:r w:rsidR="00FB0C96" w:rsidRPr="00A37554">
        <w:rPr>
          <w:rFonts w:ascii="Times New Roman" w:hAnsi="Times New Roman" w:cs="Times New Roman"/>
          <w:b/>
          <w:color w:val="1F3864" w:themeColor="accent5" w:themeShade="80"/>
          <w:sz w:val="28"/>
          <w:szCs w:val="28"/>
          <w:lang w:val="uz-Cyrl-UZ"/>
        </w:rPr>
        <w:t xml:space="preserve"> та</w:t>
      </w:r>
      <w:r w:rsidR="000E01F5" w:rsidRPr="00A37554">
        <w:rPr>
          <w:rFonts w:ascii="Times New Roman" w:hAnsi="Times New Roman" w:cs="Times New Roman"/>
          <w:sz w:val="28"/>
          <w:szCs w:val="28"/>
          <w:lang w:val="uz-Cyrl-UZ"/>
        </w:rPr>
        <w:t xml:space="preserve"> объект</w:t>
      </w:r>
      <w:r w:rsidR="00FB0C96" w:rsidRPr="00A37554">
        <w:rPr>
          <w:rFonts w:ascii="Times New Roman" w:hAnsi="Times New Roman" w:cs="Times New Roman"/>
          <w:sz w:val="28"/>
          <w:szCs w:val="28"/>
          <w:lang w:val="uz-Cyrl-UZ"/>
        </w:rPr>
        <w:t xml:space="preserve">да режали ва режадан ташқари ички аудит тадбирлари ўтказилиб, </w:t>
      </w:r>
      <w:r w:rsidR="003D2900" w:rsidRPr="00A37554">
        <w:rPr>
          <w:rFonts w:ascii="Times New Roman" w:hAnsi="Times New Roman" w:cs="Times New Roman"/>
          <w:sz w:val="28"/>
          <w:szCs w:val="28"/>
          <w:lang w:val="uz-Cyrl-UZ"/>
        </w:rPr>
        <w:t xml:space="preserve">унда </w:t>
      </w:r>
      <w:r w:rsidR="00FB0C96" w:rsidRPr="00A37554">
        <w:rPr>
          <w:rFonts w:ascii="Times New Roman" w:hAnsi="Times New Roman" w:cs="Times New Roman"/>
          <w:sz w:val="28"/>
          <w:szCs w:val="28"/>
          <w:lang w:val="uz-Cyrl-UZ"/>
        </w:rPr>
        <w:t>олди олинган ортиқча режалаштиришлар, ортиқча тўловлар, камомад ва бошқа хато-камчиликлар аниқлан</w:t>
      </w:r>
      <w:r w:rsidR="003D2900" w:rsidRPr="00A37554">
        <w:rPr>
          <w:rFonts w:ascii="Times New Roman" w:hAnsi="Times New Roman" w:cs="Times New Roman"/>
          <w:sz w:val="28"/>
          <w:szCs w:val="28"/>
          <w:lang w:val="uz-Cyrl-UZ"/>
        </w:rPr>
        <w:t>ди</w:t>
      </w:r>
      <w:r w:rsidR="00FB0C96" w:rsidRPr="00A37554">
        <w:rPr>
          <w:rFonts w:ascii="Times New Roman" w:hAnsi="Times New Roman" w:cs="Times New Roman"/>
          <w:sz w:val="28"/>
          <w:szCs w:val="28"/>
          <w:lang w:val="uz-Cyrl-UZ"/>
        </w:rPr>
        <w:t>.</w:t>
      </w:r>
    </w:p>
    <w:p w:rsidR="00FB0C96" w:rsidRPr="00A37554" w:rsidRDefault="00136878"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Хусусан, иш ҳақи ва унга тенглаштирилган тўловлар ортиқча тўланиши (ўзлаштириш), қонунчиликка номувофиқ тарзда харидларни ўтказилиши, мавжуд қарздорликлар ундирилмаслиги, тушумларни нотўғри тақсимланиши, қурилишларда қўшиб ёзиш, самарасиз харажатлар, камомадлар ҳамда бошқа шу каби хато ва камчиликлар аниқланган.</w:t>
      </w:r>
    </w:p>
    <w:p w:rsidR="00EE2203" w:rsidRPr="00A37554" w:rsidRDefault="00EE2203"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 xml:space="preserve">Бундан ташқари, </w:t>
      </w:r>
      <w:r w:rsidRPr="00A37554">
        <w:rPr>
          <w:rFonts w:ascii="Times New Roman" w:hAnsi="Times New Roman" w:cs="Times New Roman"/>
          <w:b/>
          <w:color w:val="1F3864" w:themeColor="accent5" w:themeShade="80"/>
          <w:sz w:val="28"/>
          <w:szCs w:val="28"/>
          <w:lang w:val="uz-Cyrl-UZ"/>
        </w:rPr>
        <w:t>давлат бюджети</w:t>
      </w:r>
      <w:r w:rsidRPr="00A37554">
        <w:rPr>
          <w:rFonts w:ascii="Times New Roman" w:hAnsi="Times New Roman" w:cs="Times New Roman"/>
          <w:sz w:val="28"/>
          <w:szCs w:val="28"/>
          <w:lang w:val="uz-Cyrl-UZ"/>
        </w:rPr>
        <w:t xml:space="preserve"> ҳисобидан </w:t>
      </w:r>
      <w:r w:rsidR="00790564" w:rsidRPr="00A37554">
        <w:rPr>
          <w:rFonts w:ascii="Times New Roman" w:hAnsi="Times New Roman" w:cs="Times New Roman"/>
          <w:b/>
          <w:color w:val="1F3864" w:themeColor="accent5" w:themeShade="80"/>
          <w:sz w:val="28"/>
          <w:szCs w:val="28"/>
          <w:lang w:val="uz-Cyrl-UZ"/>
        </w:rPr>
        <w:t>466</w:t>
      </w:r>
      <w:r w:rsidR="00790564" w:rsidRPr="00A37554">
        <w:rPr>
          <w:rFonts w:ascii="Times New Roman" w:hAnsi="Times New Roman" w:cs="Times New Roman"/>
          <w:sz w:val="28"/>
          <w:szCs w:val="28"/>
          <w:lang w:val="uz-Cyrl-UZ"/>
        </w:rPr>
        <w:t xml:space="preserve"> </w:t>
      </w:r>
      <w:r w:rsidR="00790564" w:rsidRPr="00A37554">
        <w:rPr>
          <w:rFonts w:ascii="Times New Roman" w:hAnsi="Times New Roman" w:cs="Times New Roman"/>
          <w:b/>
          <w:color w:val="1F3864" w:themeColor="accent5" w:themeShade="80"/>
          <w:sz w:val="28"/>
          <w:szCs w:val="28"/>
          <w:lang w:val="uz-Cyrl-UZ"/>
        </w:rPr>
        <w:t>та</w:t>
      </w:r>
      <w:r w:rsidR="00790564" w:rsidRPr="00A37554">
        <w:rPr>
          <w:rFonts w:ascii="Times New Roman" w:hAnsi="Times New Roman" w:cs="Times New Roman"/>
          <w:sz w:val="28"/>
          <w:szCs w:val="28"/>
          <w:lang w:val="uz-Cyrl-UZ"/>
        </w:rPr>
        <w:t xml:space="preserve"> талабгорларга </w:t>
      </w:r>
      <w:r w:rsidRPr="00A37554">
        <w:rPr>
          <w:rFonts w:ascii="Times New Roman" w:hAnsi="Times New Roman" w:cs="Times New Roman"/>
          <w:sz w:val="28"/>
          <w:szCs w:val="28"/>
          <w:lang w:val="uz-Cyrl-UZ"/>
        </w:rPr>
        <w:t xml:space="preserve">ажратилган </w:t>
      </w:r>
      <w:r w:rsidR="00790564" w:rsidRPr="00A37554">
        <w:rPr>
          <w:rFonts w:ascii="Times New Roman" w:hAnsi="Times New Roman" w:cs="Times New Roman"/>
          <w:b/>
          <w:color w:val="1F3864" w:themeColor="accent5" w:themeShade="80"/>
          <w:sz w:val="28"/>
          <w:szCs w:val="28"/>
          <w:lang w:val="uz-Cyrl-UZ"/>
        </w:rPr>
        <w:t>145 млрд</w:t>
      </w:r>
      <w:r w:rsidR="00790564" w:rsidRPr="00A37554">
        <w:rPr>
          <w:rFonts w:ascii="Times New Roman" w:hAnsi="Times New Roman" w:cs="Times New Roman"/>
          <w:sz w:val="28"/>
          <w:szCs w:val="28"/>
          <w:lang w:val="uz-Cyrl-UZ"/>
        </w:rPr>
        <w:t xml:space="preserve"> сўмлик </w:t>
      </w:r>
      <w:r w:rsidRPr="00A37554">
        <w:rPr>
          <w:rFonts w:ascii="Times New Roman" w:hAnsi="Times New Roman" w:cs="Times New Roman"/>
          <w:sz w:val="28"/>
          <w:szCs w:val="28"/>
          <w:lang w:val="uz-Cyrl-UZ"/>
        </w:rPr>
        <w:t>субсидиялар мақсадли</w:t>
      </w:r>
      <w:r w:rsidR="00470E2F" w:rsidRPr="00A37554">
        <w:rPr>
          <w:rFonts w:ascii="Times New Roman" w:hAnsi="Times New Roman" w:cs="Times New Roman"/>
          <w:sz w:val="28"/>
          <w:szCs w:val="28"/>
          <w:lang w:val="uz-Cyrl-UZ"/>
        </w:rPr>
        <w:t xml:space="preserve">лиги ўрганилганда, </w:t>
      </w:r>
      <w:r w:rsidR="00470E2F" w:rsidRPr="00A37554">
        <w:rPr>
          <w:rFonts w:ascii="Times New Roman" w:hAnsi="Times New Roman" w:cs="Times New Roman"/>
          <w:b/>
          <w:color w:val="1F3864" w:themeColor="accent5" w:themeShade="80"/>
          <w:sz w:val="28"/>
          <w:szCs w:val="28"/>
          <w:lang w:val="uz-Cyrl-UZ"/>
        </w:rPr>
        <w:t>105</w:t>
      </w:r>
      <w:r w:rsidR="00790564" w:rsidRPr="00A37554">
        <w:rPr>
          <w:rFonts w:ascii="Times New Roman" w:hAnsi="Times New Roman" w:cs="Times New Roman"/>
          <w:b/>
          <w:color w:val="1F3864" w:themeColor="accent5" w:themeShade="80"/>
          <w:sz w:val="28"/>
          <w:szCs w:val="28"/>
          <w:lang w:val="uz-Cyrl-UZ"/>
        </w:rPr>
        <w:t> </w:t>
      </w:r>
      <w:r w:rsidR="00470E2F" w:rsidRPr="00A37554">
        <w:rPr>
          <w:rFonts w:ascii="Times New Roman" w:hAnsi="Times New Roman" w:cs="Times New Roman"/>
          <w:b/>
          <w:color w:val="1F3864" w:themeColor="accent5" w:themeShade="80"/>
          <w:sz w:val="28"/>
          <w:szCs w:val="28"/>
          <w:lang w:val="uz-Cyrl-UZ"/>
        </w:rPr>
        <w:t>та</w:t>
      </w:r>
      <w:r w:rsidR="00790564" w:rsidRPr="00A37554">
        <w:rPr>
          <w:rFonts w:ascii="Times New Roman" w:hAnsi="Times New Roman" w:cs="Times New Roman"/>
          <w:b/>
          <w:color w:val="1F3864" w:themeColor="accent5" w:themeShade="80"/>
          <w:sz w:val="28"/>
          <w:szCs w:val="28"/>
          <w:lang w:val="uz-Cyrl-UZ"/>
        </w:rPr>
        <w:t>си</w:t>
      </w:r>
      <w:r w:rsidR="00470E2F" w:rsidRPr="00A37554">
        <w:rPr>
          <w:rFonts w:ascii="Times New Roman" w:hAnsi="Times New Roman" w:cs="Times New Roman"/>
          <w:b/>
          <w:color w:val="1F3864" w:themeColor="accent5" w:themeShade="80"/>
          <w:sz w:val="28"/>
          <w:szCs w:val="28"/>
          <w:lang w:val="uz-Cyrl-UZ"/>
        </w:rPr>
        <w:t>да</w:t>
      </w:r>
      <w:r w:rsidR="00470E2F" w:rsidRPr="00A37554">
        <w:rPr>
          <w:rFonts w:ascii="Times New Roman" w:hAnsi="Times New Roman" w:cs="Times New Roman"/>
          <w:sz w:val="28"/>
          <w:szCs w:val="28"/>
          <w:lang w:val="uz-Cyrl-UZ"/>
        </w:rPr>
        <w:t xml:space="preserve"> мақсадсиз фойдаланиш ҳолатлари аниқланган</w:t>
      </w:r>
      <w:r w:rsidRPr="00A37554">
        <w:rPr>
          <w:rFonts w:ascii="Times New Roman" w:hAnsi="Times New Roman" w:cs="Times New Roman"/>
          <w:sz w:val="28"/>
          <w:szCs w:val="28"/>
          <w:lang w:val="uz-Cyrl-UZ"/>
        </w:rPr>
        <w:t>.</w:t>
      </w:r>
    </w:p>
    <w:p w:rsidR="00E34F1F" w:rsidRPr="00A37554" w:rsidRDefault="00790564"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Р</w:t>
      </w:r>
      <w:r w:rsidR="00E34F1F" w:rsidRPr="00A37554">
        <w:rPr>
          <w:rFonts w:ascii="Times New Roman" w:hAnsi="Times New Roman" w:cs="Times New Roman"/>
          <w:sz w:val="28"/>
          <w:szCs w:val="28"/>
          <w:lang w:val="uz-Cyrl-UZ"/>
        </w:rPr>
        <w:t xml:space="preserve">ежали ва режадан ташқари </w:t>
      </w:r>
      <w:r w:rsidRPr="00A37554">
        <w:rPr>
          <w:rFonts w:ascii="Times New Roman" w:hAnsi="Times New Roman" w:cs="Times New Roman"/>
          <w:sz w:val="28"/>
          <w:szCs w:val="28"/>
          <w:lang w:val="uz-Cyrl-UZ"/>
        </w:rPr>
        <w:t>ички аудит тадбирлари</w:t>
      </w:r>
      <w:r w:rsidR="00E34F1F" w:rsidRPr="00A37554">
        <w:rPr>
          <w:rFonts w:ascii="Times New Roman" w:hAnsi="Times New Roman" w:cs="Times New Roman"/>
          <w:sz w:val="28"/>
          <w:szCs w:val="28"/>
          <w:lang w:val="uz-Cyrl-UZ"/>
        </w:rPr>
        <w:t xml:space="preserve"> натижаларидан келиб чиқиб, </w:t>
      </w:r>
      <w:r w:rsidRPr="00A37554">
        <w:rPr>
          <w:rFonts w:ascii="Times New Roman" w:hAnsi="Times New Roman" w:cs="Times New Roman"/>
          <w:sz w:val="28"/>
          <w:szCs w:val="28"/>
          <w:lang w:val="uz-Cyrl-UZ"/>
        </w:rPr>
        <w:t xml:space="preserve">объектларга </w:t>
      </w:r>
      <w:r w:rsidR="00E34F1F" w:rsidRPr="00A37554">
        <w:rPr>
          <w:rFonts w:ascii="Times New Roman" w:hAnsi="Times New Roman" w:cs="Times New Roman"/>
          <w:sz w:val="28"/>
          <w:szCs w:val="28"/>
          <w:lang w:val="uz-Cyrl-UZ"/>
        </w:rPr>
        <w:t>тегишли</w:t>
      </w:r>
      <w:r w:rsidRPr="00A37554">
        <w:rPr>
          <w:rFonts w:ascii="Times New Roman" w:hAnsi="Times New Roman" w:cs="Times New Roman"/>
          <w:sz w:val="28"/>
          <w:szCs w:val="28"/>
          <w:lang w:val="uz-Cyrl-UZ"/>
        </w:rPr>
        <w:t>лигича</w:t>
      </w:r>
      <w:r w:rsidR="00E34F1F" w:rsidRPr="00A37554">
        <w:rPr>
          <w:rFonts w:ascii="Times New Roman" w:hAnsi="Times New Roman" w:cs="Times New Roman"/>
          <w:sz w:val="28"/>
          <w:szCs w:val="28"/>
          <w:lang w:val="uz-Cyrl-UZ"/>
        </w:rPr>
        <w:t xml:space="preserve"> кўрсатма х</w:t>
      </w:r>
      <w:r w:rsidR="00930B5C" w:rsidRPr="00A37554">
        <w:rPr>
          <w:rFonts w:ascii="Times New Roman" w:hAnsi="Times New Roman" w:cs="Times New Roman"/>
          <w:sz w:val="28"/>
          <w:szCs w:val="28"/>
          <w:lang w:val="uz-Cyrl-UZ"/>
        </w:rPr>
        <w:t>атлари юборилди</w:t>
      </w:r>
      <w:r w:rsidRPr="00A37554">
        <w:rPr>
          <w:rFonts w:ascii="Times New Roman" w:hAnsi="Times New Roman" w:cs="Times New Roman"/>
          <w:sz w:val="28"/>
          <w:szCs w:val="28"/>
          <w:lang w:val="uz-Cyrl-UZ"/>
        </w:rPr>
        <w:t xml:space="preserve"> ҳамда</w:t>
      </w:r>
      <w:r w:rsidR="00930B5C" w:rsidRPr="00A37554">
        <w:rPr>
          <w:rFonts w:ascii="Times New Roman" w:hAnsi="Times New Roman" w:cs="Times New Roman"/>
          <w:sz w:val="28"/>
          <w:szCs w:val="28"/>
          <w:lang w:val="uz-Cyrl-UZ"/>
        </w:rPr>
        <w:t xml:space="preserve"> чора-тадбир ре</w:t>
      </w:r>
      <w:r w:rsidR="00E34F1F" w:rsidRPr="00A37554">
        <w:rPr>
          <w:rFonts w:ascii="Times New Roman" w:hAnsi="Times New Roman" w:cs="Times New Roman"/>
          <w:sz w:val="28"/>
          <w:szCs w:val="28"/>
          <w:lang w:val="uz-Cyrl-UZ"/>
        </w:rPr>
        <w:t>жал</w:t>
      </w:r>
      <w:r w:rsidR="00930B5C" w:rsidRPr="00A37554">
        <w:rPr>
          <w:rFonts w:ascii="Times New Roman" w:hAnsi="Times New Roman" w:cs="Times New Roman"/>
          <w:sz w:val="28"/>
          <w:szCs w:val="28"/>
          <w:lang w:val="uz-Cyrl-UZ"/>
        </w:rPr>
        <w:t>а</w:t>
      </w:r>
      <w:r w:rsidR="00E34F1F" w:rsidRPr="00A37554">
        <w:rPr>
          <w:rFonts w:ascii="Times New Roman" w:hAnsi="Times New Roman" w:cs="Times New Roman"/>
          <w:sz w:val="28"/>
          <w:szCs w:val="28"/>
          <w:lang w:val="uz-Cyrl-UZ"/>
        </w:rPr>
        <w:t xml:space="preserve">ри ишлаб чиқилиб, </w:t>
      </w:r>
      <w:r w:rsidRPr="00A37554">
        <w:rPr>
          <w:rFonts w:ascii="Times New Roman" w:hAnsi="Times New Roman" w:cs="Times New Roman"/>
          <w:sz w:val="28"/>
          <w:szCs w:val="28"/>
          <w:lang w:val="uz-Cyrl-UZ"/>
        </w:rPr>
        <w:t xml:space="preserve">ижроси </w:t>
      </w:r>
      <w:r w:rsidR="00E34F1F" w:rsidRPr="00A37554">
        <w:rPr>
          <w:rFonts w:ascii="Times New Roman" w:hAnsi="Times New Roman" w:cs="Times New Roman"/>
          <w:sz w:val="28"/>
          <w:szCs w:val="28"/>
          <w:lang w:val="uz-Cyrl-UZ"/>
        </w:rPr>
        <w:t>назоратга олинди.</w:t>
      </w:r>
    </w:p>
    <w:p w:rsidR="00930B5C" w:rsidRPr="00A37554" w:rsidRDefault="00930B5C"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 xml:space="preserve">Шунингдек, 2024 йилда хато ва камчиликка йўл қўйган </w:t>
      </w:r>
      <w:r w:rsidRPr="00A37554">
        <w:rPr>
          <w:rFonts w:ascii="Times New Roman" w:hAnsi="Times New Roman" w:cs="Times New Roman"/>
          <w:b/>
          <w:color w:val="1F3864" w:themeColor="accent5" w:themeShade="80"/>
          <w:sz w:val="28"/>
          <w:szCs w:val="28"/>
          <w:lang w:val="uz-Cyrl-UZ"/>
        </w:rPr>
        <w:t>9 нафар</w:t>
      </w:r>
      <w:r w:rsidRPr="00A37554">
        <w:rPr>
          <w:rFonts w:ascii="Times New Roman" w:hAnsi="Times New Roman" w:cs="Times New Roman"/>
          <w:sz w:val="28"/>
          <w:szCs w:val="28"/>
          <w:lang w:val="uz-Cyrl-UZ"/>
        </w:rPr>
        <w:t xml:space="preserve"> ходим билан </w:t>
      </w:r>
      <w:r w:rsidRPr="00A37554">
        <w:rPr>
          <w:rFonts w:ascii="Times New Roman" w:hAnsi="Times New Roman" w:cs="Times New Roman"/>
          <w:b/>
          <w:color w:val="1F3864" w:themeColor="accent5" w:themeShade="80"/>
          <w:sz w:val="28"/>
          <w:szCs w:val="28"/>
          <w:lang w:val="uz-Cyrl-UZ"/>
        </w:rPr>
        <w:t>меҳнат шартномаси</w:t>
      </w:r>
      <w:r w:rsidRPr="00A37554">
        <w:rPr>
          <w:rFonts w:ascii="Times New Roman" w:hAnsi="Times New Roman" w:cs="Times New Roman"/>
          <w:sz w:val="28"/>
          <w:szCs w:val="28"/>
          <w:lang w:val="uz-Cyrl-UZ"/>
        </w:rPr>
        <w:t xml:space="preserve"> бекор қилинган, </w:t>
      </w:r>
      <w:r w:rsidRPr="00A37554">
        <w:rPr>
          <w:rFonts w:ascii="Times New Roman" w:hAnsi="Times New Roman" w:cs="Times New Roman"/>
          <w:b/>
          <w:color w:val="1F3864" w:themeColor="accent5" w:themeShade="80"/>
          <w:sz w:val="28"/>
          <w:szCs w:val="28"/>
          <w:lang w:val="uz-Cyrl-UZ"/>
        </w:rPr>
        <w:t>33 нафарига</w:t>
      </w:r>
      <w:r w:rsidRPr="00A37554">
        <w:rPr>
          <w:rFonts w:ascii="Times New Roman" w:hAnsi="Times New Roman" w:cs="Times New Roman"/>
          <w:sz w:val="28"/>
          <w:szCs w:val="28"/>
          <w:lang w:val="uz-Cyrl-UZ"/>
        </w:rPr>
        <w:t xml:space="preserve"> “</w:t>
      </w:r>
      <w:r w:rsidRPr="00A37554">
        <w:rPr>
          <w:rFonts w:ascii="Times New Roman" w:hAnsi="Times New Roman" w:cs="Times New Roman"/>
          <w:b/>
          <w:color w:val="1F3864" w:themeColor="accent5" w:themeShade="80"/>
          <w:sz w:val="28"/>
          <w:szCs w:val="28"/>
          <w:lang w:val="uz-Cyrl-UZ"/>
        </w:rPr>
        <w:t>хайфсан</w:t>
      </w:r>
      <w:r w:rsidRPr="00A37554">
        <w:rPr>
          <w:rFonts w:ascii="Times New Roman" w:hAnsi="Times New Roman" w:cs="Times New Roman"/>
          <w:sz w:val="28"/>
          <w:szCs w:val="28"/>
          <w:lang w:val="uz-Cyrl-UZ"/>
        </w:rPr>
        <w:t>” интизомий жазоси қўлланилган.</w:t>
      </w:r>
    </w:p>
    <w:p w:rsidR="00CB37BC" w:rsidRPr="00A37554" w:rsidRDefault="00CB37BC"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Хорижий тажрибаларни жорий этиш мақсадида Европа иттифоқи “ASK Faсility” лойиҳаси халқаро экспертлар билан Ички аудит бошқармаси ҳамкорлигида самарадорлик аудитлари ўтказиб келинмоқда.</w:t>
      </w:r>
    </w:p>
    <w:p w:rsidR="00470E2F" w:rsidRPr="00A37554" w:rsidRDefault="00470E2F"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sz w:val="28"/>
          <w:szCs w:val="28"/>
          <w:lang w:val="uz-Cyrl-UZ"/>
        </w:rPr>
        <w:t xml:space="preserve">Ўтказилган ички аудит тадбирлари </w:t>
      </w:r>
      <w:r w:rsidR="00E34F1F" w:rsidRPr="00A37554">
        <w:rPr>
          <w:rFonts w:ascii="Times New Roman" w:hAnsi="Times New Roman" w:cs="Times New Roman"/>
          <w:sz w:val="28"/>
          <w:szCs w:val="28"/>
          <w:lang w:val="uz-Cyrl-UZ"/>
        </w:rPr>
        <w:t>натижаларидан келиб чиқиб,</w:t>
      </w:r>
      <w:r w:rsidRPr="00A37554">
        <w:rPr>
          <w:rFonts w:ascii="Times New Roman" w:hAnsi="Times New Roman" w:cs="Times New Roman"/>
          <w:sz w:val="28"/>
          <w:szCs w:val="28"/>
          <w:lang w:val="uz-Cyrl-UZ"/>
        </w:rPr>
        <w:t xml:space="preserve"> тўпланган ҳужжатлар</w:t>
      </w:r>
      <w:r w:rsidR="00E34F1F" w:rsidRPr="00A37554">
        <w:rPr>
          <w:rFonts w:ascii="Times New Roman" w:hAnsi="Times New Roman" w:cs="Times New Roman"/>
          <w:sz w:val="28"/>
          <w:szCs w:val="28"/>
          <w:lang w:val="uz-Cyrl-UZ"/>
        </w:rPr>
        <w:t>га</w:t>
      </w:r>
      <w:r w:rsidRPr="00A37554">
        <w:rPr>
          <w:rFonts w:ascii="Times New Roman" w:hAnsi="Times New Roman" w:cs="Times New Roman"/>
          <w:sz w:val="28"/>
          <w:szCs w:val="28"/>
          <w:lang w:val="uz-Cyrl-UZ"/>
        </w:rPr>
        <w:t xml:space="preserve"> ҳуқуқий баҳо берилиши учун прокуратура органларига тақдим этилган.</w:t>
      </w:r>
    </w:p>
    <w:p w:rsidR="00F83F8F" w:rsidRPr="00A37554" w:rsidRDefault="0065794E" w:rsidP="004A1652">
      <w:pPr>
        <w:spacing w:before="60" w:after="60" w:line="257" w:lineRule="auto"/>
        <w:ind w:firstLine="709"/>
        <w:jc w:val="both"/>
        <w:rPr>
          <w:rFonts w:ascii="Times New Roman" w:hAnsi="Times New Roman" w:cs="Times New Roman"/>
          <w:sz w:val="28"/>
          <w:szCs w:val="28"/>
          <w:lang w:val="uz-Cyrl-UZ"/>
        </w:rPr>
      </w:pPr>
      <w:r w:rsidRPr="00A37554">
        <w:rPr>
          <w:rFonts w:ascii="Times New Roman" w:hAnsi="Times New Roman" w:cs="Times New Roman"/>
          <w:b/>
          <w:color w:val="1F3864" w:themeColor="accent5" w:themeShade="80"/>
          <w:sz w:val="28"/>
          <w:szCs w:val="28"/>
          <w:lang w:val="uz-Cyrl-UZ"/>
        </w:rPr>
        <w:t>Юқоридагилардан ташқари</w:t>
      </w:r>
      <w:r w:rsidR="00674F6B" w:rsidRPr="00A37554">
        <w:rPr>
          <w:rFonts w:ascii="Times New Roman" w:hAnsi="Times New Roman" w:cs="Times New Roman"/>
          <w:b/>
          <w:color w:val="1F3864" w:themeColor="accent5" w:themeShade="80"/>
          <w:sz w:val="28"/>
          <w:szCs w:val="28"/>
          <w:lang w:val="uz-Cyrl-UZ"/>
        </w:rPr>
        <w:t>,</w:t>
      </w:r>
      <w:r w:rsidRPr="00A37554">
        <w:rPr>
          <w:rFonts w:ascii="Times New Roman" w:hAnsi="Times New Roman" w:cs="Times New Roman"/>
          <w:b/>
          <w:color w:val="1F3864" w:themeColor="accent5" w:themeShade="80"/>
          <w:sz w:val="28"/>
          <w:szCs w:val="28"/>
          <w:lang w:val="uz-Cyrl-UZ"/>
        </w:rPr>
        <w:t xml:space="preserve"> </w:t>
      </w:r>
      <w:r w:rsidRPr="00A37554">
        <w:rPr>
          <w:rFonts w:ascii="Times New Roman" w:hAnsi="Times New Roman" w:cs="Times New Roman"/>
          <w:sz w:val="28"/>
          <w:szCs w:val="28"/>
          <w:lang w:val="uz-Cyrl-UZ"/>
        </w:rPr>
        <w:t>2024 йил</w:t>
      </w:r>
      <w:r w:rsidR="00470E2F" w:rsidRPr="00A37554">
        <w:rPr>
          <w:rFonts w:ascii="Times New Roman" w:hAnsi="Times New Roman" w:cs="Times New Roman"/>
          <w:sz w:val="28"/>
          <w:szCs w:val="28"/>
          <w:lang w:val="uz-Cyrl-UZ"/>
        </w:rPr>
        <w:t xml:space="preserve">даги </w:t>
      </w:r>
      <w:r w:rsidRPr="00A37554">
        <w:rPr>
          <w:rFonts w:ascii="Times New Roman" w:hAnsi="Times New Roman" w:cs="Times New Roman"/>
          <w:b/>
          <w:color w:val="1F3864" w:themeColor="accent5" w:themeShade="80"/>
          <w:sz w:val="28"/>
          <w:szCs w:val="28"/>
          <w:lang w:val="uz-Cyrl-UZ"/>
        </w:rPr>
        <w:t>мақсадли индикаторлар ижроси</w:t>
      </w:r>
      <w:r w:rsidR="00F83F8F" w:rsidRPr="00A37554">
        <w:rPr>
          <w:rFonts w:ascii="Times New Roman" w:hAnsi="Times New Roman" w:cs="Times New Roman"/>
          <w:sz w:val="28"/>
          <w:szCs w:val="28"/>
          <w:lang w:val="uz-Cyrl-UZ"/>
        </w:rPr>
        <w:t xml:space="preserve"> </w:t>
      </w:r>
      <w:r w:rsidR="00470E2F" w:rsidRPr="00A37554">
        <w:rPr>
          <w:rFonts w:ascii="Times New Roman" w:hAnsi="Times New Roman" w:cs="Times New Roman"/>
          <w:sz w:val="28"/>
          <w:szCs w:val="28"/>
          <w:lang w:val="uz-Cyrl-UZ"/>
        </w:rPr>
        <w:t xml:space="preserve">ҳар чорак якуни билан ҳамда йил якуни билан </w:t>
      </w:r>
      <w:r w:rsidRPr="00A37554">
        <w:rPr>
          <w:rFonts w:ascii="Times New Roman" w:hAnsi="Times New Roman" w:cs="Times New Roman"/>
          <w:sz w:val="28"/>
          <w:szCs w:val="28"/>
          <w:lang w:val="uz-Cyrl-UZ"/>
        </w:rPr>
        <w:t>баҳоланиб</w:t>
      </w:r>
      <w:r w:rsidR="00674F6B" w:rsidRPr="00A37554">
        <w:rPr>
          <w:rFonts w:ascii="Times New Roman" w:hAnsi="Times New Roman" w:cs="Times New Roman"/>
          <w:sz w:val="28"/>
          <w:szCs w:val="28"/>
          <w:lang w:val="uz-Cyrl-UZ"/>
        </w:rPr>
        <w:t xml:space="preserve">, ахбороти </w:t>
      </w:r>
      <w:r w:rsidR="00470E2F" w:rsidRPr="00A37554">
        <w:rPr>
          <w:rFonts w:ascii="Times New Roman" w:hAnsi="Times New Roman" w:cs="Times New Roman"/>
          <w:sz w:val="28"/>
          <w:szCs w:val="28"/>
          <w:lang w:val="uz-Cyrl-UZ"/>
        </w:rPr>
        <w:t>тегишли ташкилотларга тақдим этилиши таъминланди.</w:t>
      </w:r>
    </w:p>
    <w:sectPr w:rsidR="00F83F8F" w:rsidRPr="00A37554" w:rsidSect="004A1652">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94"/>
    <w:rsid w:val="00043C9A"/>
    <w:rsid w:val="00045AF3"/>
    <w:rsid w:val="000A039F"/>
    <w:rsid w:val="000C3B45"/>
    <w:rsid w:val="000E01F5"/>
    <w:rsid w:val="00136878"/>
    <w:rsid w:val="00156A0C"/>
    <w:rsid w:val="001A14A0"/>
    <w:rsid w:val="002B2EE5"/>
    <w:rsid w:val="002D6AC3"/>
    <w:rsid w:val="002F6B64"/>
    <w:rsid w:val="0032015D"/>
    <w:rsid w:val="00387AAD"/>
    <w:rsid w:val="003A61EC"/>
    <w:rsid w:val="003D2900"/>
    <w:rsid w:val="0041069D"/>
    <w:rsid w:val="00470E2F"/>
    <w:rsid w:val="00474BAB"/>
    <w:rsid w:val="0049678F"/>
    <w:rsid w:val="004A1652"/>
    <w:rsid w:val="004C507E"/>
    <w:rsid w:val="00553B47"/>
    <w:rsid w:val="0055453B"/>
    <w:rsid w:val="00592A7B"/>
    <w:rsid w:val="005B0CB0"/>
    <w:rsid w:val="005F07F6"/>
    <w:rsid w:val="00601E35"/>
    <w:rsid w:val="00633C96"/>
    <w:rsid w:val="00641BF0"/>
    <w:rsid w:val="00647161"/>
    <w:rsid w:val="0065794E"/>
    <w:rsid w:val="00674F6B"/>
    <w:rsid w:val="00693450"/>
    <w:rsid w:val="00694DFD"/>
    <w:rsid w:val="00736D4D"/>
    <w:rsid w:val="007468C4"/>
    <w:rsid w:val="00747937"/>
    <w:rsid w:val="00790564"/>
    <w:rsid w:val="00857F2B"/>
    <w:rsid w:val="008631CA"/>
    <w:rsid w:val="008A4239"/>
    <w:rsid w:val="008C5886"/>
    <w:rsid w:val="008E0F78"/>
    <w:rsid w:val="008F76EF"/>
    <w:rsid w:val="00900B07"/>
    <w:rsid w:val="00930B5C"/>
    <w:rsid w:val="00937233"/>
    <w:rsid w:val="0099177A"/>
    <w:rsid w:val="009C2341"/>
    <w:rsid w:val="009E4B9C"/>
    <w:rsid w:val="00A2405B"/>
    <w:rsid w:val="00A37554"/>
    <w:rsid w:val="00A40082"/>
    <w:rsid w:val="00A66F94"/>
    <w:rsid w:val="00A9254E"/>
    <w:rsid w:val="00AC3BFC"/>
    <w:rsid w:val="00AE5AC9"/>
    <w:rsid w:val="00AE7B4D"/>
    <w:rsid w:val="00B0484B"/>
    <w:rsid w:val="00B90867"/>
    <w:rsid w:val="00BA279B"/>
    <w:rsid w:val="00BB207F"/>
    <w:rsid w:val="00C1242D"/>
    <w:rsid w:val="00CA7709"/>
    <w:rsid w:val="00CB37BC"/>
    <w:rsid w:val="00D278AA"/>
    <w:rsid w:val="00D52BC0"/>
    <w:rsid w:val="00D603FF"/>
    <w:rsid w:val="00D61E60"/>
    <w:rsid w:val="00D61FD6"/>
    <w:rsid w:val="00D87ABA"/>
    <w:rsid w:val="00DC6D5D"/>
    <w:rsid w:val="00DE77AE"/>
    <w:rsid w:val="00DF4605"/>
    <w:rsid w:val="00E34F1F"/>
    <w:rsid w:val="00E8174E"/>
    <w:rsid w:val="00E97081"/>
    <w:rsid w:val="00EC6587"/>
    <w:rsid w:val="00EE2203"/>
    <w:rsid w:val="00EE6417"/>
    <w:rsid w:val="00F566DA"/>
    <w:rsid w:val="00F800D4"/>
    <w:rsid w:val="00F83F8F"/>
    <w:rsid w:val="00FA3DAB"/>
    <w:rsid w:val="00FB0C96"/>
    <w:rsid w:val="00FB1681"/>
    <w:rsid w:val="00FD486E"/>
    <w:rsid w:val="00FE00B7"/>
    <w:rsid w:val="00FE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B45D"/>
  <w15:chartTrackingRefBased/>
  <w15:docId w15:val="{8AC6607A-B5E2-4693-8015-F51F3E05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F94"/>
    <w:pPr>
      <w:ind w:left="720"/>
      <w:contextualSpacing/>
    </w:pPr>
  </w:style>
  <w:style w:type="table" w:styleId="a4">
    <w:name w:val="Table Grid"/>
    <w:basedOn w:val="a1"/>
    <w:uiPriority w:val="39"/>
    <w:rsid w:val="0059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Jamshid Rahmatillayev</dc:creator>
  <cp:keywords/>
  <dc:description/>
  <cp:lastModifiedBy>Abdurahim Abdunabiyev Sunnatulla o'g'li</cp:lastModifiedBy>
  <cp:revision>2</cp:revision>
  <dcterms:created xsi:type="dcterms:W3CDTF">2025-02-03T07:25:00Z</dcterms:created>
  <dcterms:modified xsi:type="dcterms:W3CDTF">2025-02-03T07:25:00Z</dcterms:modified>
</cp:coreProperties>
</file>