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AF1999" w:rsidRDefault="003B5BB9">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LOGOPEDIYA FANIDAN KASBIY SERTIFIKATLASH TEST TOPSHIRIQLARI </w:t>
      </w:r>
    </w:p>
    <w:p w:rsidR="00AF1999" w:rsidRDefault="003B5BB9">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AF1999">
      <w:pPr>
        <w:spacing w:before="240" w:after="240" w:line="276" w:lineRule="auto"/>
        <w:ind w:firstLine="20"/>
        <w:jc w:val="center"/>
        <w:rPr>
          <w:rFonts w:ascii="Times New Roman" w:eastAsia="Times New Roman" w:hAnsi="Times New Roman" w:cs="Times New Roman"/>
          <w:b/>
          <w:bCs/>
          <w:sz w:val="28"/>
          <w:szCs w:val="28"/>
        </w:rPr>
      </w:pPr>
    </w:p>
    <w:p w:rsidR="00AF1999" w:rsidRDefault="00AF1999">
      <w:pPr>
        <w:spacing w:before="240" w:after="240" w:line="276" w:lineRule="auto"/>
        <w:ind w:firstLine="20"/>
        <w:jc w:val="center"/>
        <w:rPr>
          <w:rFonts w:ascii="Times New Roman" w:eastAsia="Times New Roman" w:hAnsi="Times New Roman" w:cs="Times New Roman"/>
          <w:b/>
          <w:bCs/>
          <w:sz w:val="28"/>
          <w:szCs w:val="28"/>
        </w:rPr>
      </w:pP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AF1999">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1999" w:rsidRDefault="003B5BB9">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AF1999" w:rsidRDefault="003B5BB9">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LOGOPEDIYA FANIDAN KASBIY SERTIFIKATLASH TEST TOPSHIRIQLARI </w:t>
      </w:r>
    </w:p>
    <w:p w:rsidR="00AF1999" w:rsidRDefault="003B5BB9">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AF1999" w:rsidRDefault="00AF1999">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AF1999" w:rsidRDefault="003B5BB9">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logopediya fani o‘qituvchilarining kasbiy bilim, ko‘nikma va kompetensiyalarini baholash uchun qo‘llaniladigan test sinovlarining mazmuni, tuzilmasi va baholash mezonlarini belgilaydi.</w:t>
      </w:r>
    </w:p>
    <w:p w:rsidR="00AF1999" w:rsidRDefault="003B5BB9">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AF1999" w:rsidRDefault="003B5BB9">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AF1999" w:rsidRDefault="003B5BB9">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I. Umumiy tamoyillar </w:t>
      </w:r>
    </w:p>
    <w:p w:rsidR="00AF1999" w:rsidRDefault="003B5BB9">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logopediya fani o‘qituvchilarining fan bo‘yicha nazariy bilimlari, amaliy ko‘nikmalari, logopediya fanini o‘qitish metodikasi bo‘yicha bilimlari, pedagogik mahorati va kasbiy kompetensiyalarini kompleks baholashdan iborat. Baholash natijalari pedagog kadrlarni kasbiy sertifikatlash jarayonida qaror qabul qilish uchun asos bo‘lib xizmat qiladi.</w:t>
      </w:r>
    </w:p>
    <w:p w:rsidR="00AF1999" w:rsidRDefault="003B5BB9">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AF1999" w:rsidRDefault="003B5BB9">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AF1999" w:rsidRDefault="003B5BB9">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AF1999" w:rsidRDefault="003B5BB9">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Logopediya</w:t>
      </w:r>
      <w:r>
        <w:rPr>
          <w:rFonts w:ascii="Times New Roman" w:eastAsia="Times New Roman" w:hAnsi="Times New Roman" w:cs="Times New Roman"/>
          <w:sz w:val="28"/>
          <w:szCs w:val="28"/>
        </w:rPr>
        <w:t xml:space="preserve"> fani oʻqituvchilari uchun mutaxassislik fanidan 40 ta, pedagogik mahoratdan 10 ta, jami 50 ta test topshirigʻi taqdim etiladi va umumiy test topshirigʻini bajarish uchun ajratilgan vaqt </w:t>
      </w:r>
      <w:r w:rsidR="008C7B71">
        <w:rPr>
          <w:rFonts w:ascii="Times New Roman" w:eastAsia="Times New Roman" w:hAnsi="Times New Roman" w:cs="Times New Roman"/>
          <w:sz w:val="28"/>
          <w:szCs w:val="28"/>
        </w:rPr>
        <w:t>90</w:t>
      </w:r>
      <w:bookmarkStart w:id="2" w:name="_GoBack"/>
      <w:bookmarkEnd w:id="2"/>
      <w:r>
        <w:rPr>
          <w:rFonts w:ascii="Times New Roman" w:eastAsia="Times New Roman" w:hAnsi="Times New Roman" w:cs="Times New Roman"/>
          <w:sz w:val="28"/>
          <w:szCs w:val="28"/>
        </w:rPr>
        <w:t xml:space="preserve">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w:t>
      </w:r>
      <w:r>
        <w:rPr>
          <w:rFonts w:ascii="Times New Roman" w:eastAsia="Times New Roman" w:hAnsi="Times New Roman" w:cs="Times New Roman"/>
          <w:i/>
          <w:iCs/>
          <w:sz w:val="28"/>
          <w:szCs w:val="28"/>
        </w:rPr>
        <w:lastRenderedPageBreak/>
        <w:t>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AF1999" w:rsidRDefault="003B5BB9">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AF1999" w:rsidRDefault="00AF1999">
      <w:pPr>
        <w:widowControl w:val="0"/>
        <w:spacing w:after="0" w:line="276" w:lineRule="auto"/>
        <w:ind w:firstLine="567"/>
        <w:jc w:val="center"/>
        <w:rPr>
          <w:rFonts w:ascii="Times New Roman" w:eastAsia="Times New Roman" w:hAnsi="Times New Roman" w:cs="Times New Roman"/>
          <w:b/>
          <w:bCs/>
          <w:sz w:val="28"/>
          <w:szCs w:val="28"/>
        </w:rPr>
      </w:pP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w:t>
      </w:r>
      <w:r>
        <w:rPr>
          <w:rFonts w:ascii="Times New Roman" w:eastAsia="Times New Roman" w:hAnsi="Times New Roman" w:cs="Times New Roman"/>
          <w:color w:val="000000"/>
          <w:sz w:val="28"/>
          <w:szCs w:val="28"/>
        </w:rPr>
        <w:t>logopediya</w:t>
      </w:r>
      <w:r>
        <w:rPr>
          <w:rFonts w:ascii="Times New Roman" w:eastAsia="Times New Roman" w:hAnsi="Times New Roman" w:cs="Times New Roman"/>
          <w:sz w:val="28"/>
          <w:szCs w:val="28"/>
        </w:rPr>
        <w:t xml:space="preserve"> fanining asosiy mazmun yo‘nalishlarini qamrab oladi. Xususan, test topshiriqlari tovush talaffuzi buzilishlari, markaziy (neyrogen) nutq buzilishlari, motor nutq buzilishlari, tovush talaffuzi va ovoz rezonansi buzilishlari, nutqning umumiy rivojlanmaganligi,</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logopediya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AF1999" w:rsidRDefault="003B5BB9">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AF1999" w:rsidRDefault="003B5BB9">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5819"/>
        <w:gridCol w:w="1134"/>
      </w:tblGrid>
      <w:tr w:rsidR="00AF1999">
        <w:trPr>
          <w:trHeight w:val="459"/>
        </w:trPr>
        <w:tc>
          <w:tcPr>
            <w:tcW w:w="2398" w:type="dxa"/>
          </w:tcPr>
          <w:p w:rsidR="00AF1999" w:rsidRDefault="003B5BB9">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5819" w:type="dxa"/>
          </w:tcPr>
          <w:p w:rsidR="00AF1999" w:rsidRDefault="003B5BB9">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Baholanadigan konstruktlar </w:t>
            </w:r>
          </w:p>
        </w:tc>
        <w:tc>
          <w:tcPr>
            <w:tcW w:w="1134" w:type="dxa"/>
          </w:tcPr>
          <w:p w:rsidR="00AF1999" w:rsidRDefault="003B5BB9">
            <w:pPr>
              <w:ind w:right="37"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AF1999">
        <w:trPr>
          <w:trHeight w:val="432"/>
        </w:trPr>
        <w:tc>
          <w:tcPr>
            <w:tcW w:w="9351" w:type="dxa"/>
            <w:gridSpan w:val="3"/>
            <w:shd w:val="clear" w:color="auto" w:fill="FFFFFF"/>
          </w:tcPr>
          <w:p w:rsidR="00AF1999" w:rsidRDefault="003B5BB9">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Tovush talaffuzi buzilishlari bo‘limi</w:t>
            </w:r>
          </w:p>
        </w:tc>
      </w:tr>
      <w:tr w:rsidR="00AF1999">
        <w:trPr>
          <w:trHeight w:val="2128"/>
        </w:trPr>
        <w:tc>
          <w:tcPr>
            <w:tcW w:w="2398" w:type="dxa"/>
            <w:vAlign w:val="center"/>
          </w:tcPr>
          <w:p w:rsidR="00AF1999" w:rsidRDefault="003B5BB9">
            <w:pPr>
              <w:ind w:hanging="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Dislaliya nutq nuqsoni</w:t>
            </w:r>
          </w:p>
        </w:tc>
        <w:tc>
          <w:tcPr>
            <w:tcW w:w="5819" w:type="dxa"/>
          </w:tcPr>
          <w:p w:rsidR="00AF1999" w:rsidRDefault="003B5B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-dislaliya nutq nuqsoning мexanizmi, simptomatikasi kelib chiqish sabablari</w:t>
            </w:r>
          </w:p>
          <w:p w:rsidR="00AF1999" w:rsidRDefault="003B5BB9">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-dislaliya shakllari</w:t>
            </w:r>
          </w:p>
          <w:p w:rsidR="00AF1999" w:rsidRDefault="003B5BB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-tovushlarning nutqga qo‘yish davrlari</w:t>
            </w:r>
          </w:p>
          <w:p w:rsidR="00AF1999" w:rsidRDefault="003B5BB9">
            <w:pPr>
              <w:spacing w:after="0"/>
              <w:ind w:left="-2"/>
              <w:rPr>
                <w:rFonts w:ascii="Times New Roman" w:eastAsia="Times New Roman" w:hAnsi="Times New Roman" w:cs="Times New Roman"/>
                <w:sz w:val="28"/>
                <w:szCs w:val="28"/>
              </w:rPr>
            </w:pPr>
            <w:r>
              <w:rPr>
                <w:rFonts w:ascii="Times New Roman" w:eastAsia="Times New Roman" w:hAnsi="Times New Roman" w:cs="Times New Roman"/>
                <w:sz w:val="28"/>
                <w:szCs w:val="28"/>
              </w:rPr>
              <w:t>-dislaliya nutq nuqsoning мexanizmi, simptomatikasi kelib chiqish sabablari</w:t>
            </w:r>
          </w:p>
        </w:tc>
        <w:tc>
          <w:tcPr>
            <w:tcW w:w="1134" w:type="dxa"/>
          </w:tcPr>
          <w:p w:rsidR="00AF1999" w:rsidRDefault="00AF1999">
            <w:pPr>
              <w:jc w:val="both"/>
              <w:rPr>
                <w:rFonts w:ascii="Times New Roman" w:eastAsia="Times New Roman" w:hAnsi="Times New Roman" w:cs="Times New Roman"/>
                <w:color w:val="000000"/>
                <w:sz w:val="28"/>
                <w:szCs w:val="28"/>
              </w:rPr>
            </w:pPr>
          </w:p>
          <w:p w:rsidR="00AF1999" w:rsidRDefault="003B5BB9">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p>
        </w:tc>
      </w:tr>
      <w:tr w:rsidR="00AF1999">
        <w:trPr>
          <w:trHeight w:val="60"/>
        </w:trPr>
        <w:tc>
          <w:tcPr>
            <w:tcW w:w="9351" w:type="dxa"/>
            <w:gridSpan w:val="3"/>
          </w:tcPr>
          <w:p w:rsidR="00AF1999" w:rsidRDefault="003B5BB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2. Markaziy (neyrogen) nutq buzilishlari bo‘limi</w:t>
            </w:r>
          </w:p>
        </w:tc>
      </w:tr>
      <w:tr w:rsidR="00AF1999">
        <w:trPr>
          <w:trHeight w:val="1741"/>
        </w:trPr>
        <w:tc>
          <w:tcPr>
            <w:tcW w:w="2398" w:type="dxa"/>
            <w:vAlign w:val="center"/>
          </w:tcPr>
          <w:p w:rsidR="00AF1999" w:rsidRDefault="003B5BB9">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7"/>
                <w:szCs w:val="27"/>
              </w:rPr>
              <w:t>Afaziya nutq nuqsoni</w:t>
            </w:r>
          </w:p>
        </w:tc>
        <w:tc>
          <w:tcPr>
            <w:tcW w:w="5819" w:type="dxa"/>
          </w:tcPr>
          <w:p w:rsidR="00AF1999" w:rsidRDefault="003B5BB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-afaziya nutq nuqsoninng kelib chiqish sabablari</w:t>
            </w:r>
          </w:p>
          <w:p w:rsidR="00AF1999" w:rsidRDefault="003B5BB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-afaziyaning klinik ko‘rinishlari</w:t>
            </w:r>
          </w:p>
          <w:p w:rsidR="00AF1999" w:rsidRDefault="003B5BB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-afaziya turlari</w:t>
            </w:r>
          </w:p>
          <w:p w:rsidR="00AF1999" w:rsidRDefault="003B5BB9">
            <w:pPr>
              <w:spacing w:after="0"/>
              <w:ind w:left="-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-afaziyali bemorlar bilan olib boriladigan korreksion pedagogik ishlar</w:t>
            </w:r>
          </w:p>
        </w:tc>
        <w:tc>
          <w:tcPr>
            <w:tcW w:w="1134" w:type="dxa"/>
          </w:tcPr>
          <w:p w:rsidR="00AF1999" w:rsidRDefault="003B5B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r>
      <w:tr w:rsidR="00AF1999">
        <w:trPr>
          <w:trHeight w:val="60"/>
        </w:trPr>
        <w:tc>
          <w:tcPr>
            <w:tcW w:w="9351" w:type="dxa"/>
            <w:gridSpan w:val="3"/>
          </w:tcPr>
          <w:p w:rsidR="00AF1999" w:rsidRDefault="003B5BB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Motor nutq buzilishlari bo‘limi</w:t>
            </w:r>
          </w:p>
        </w:tc>
      </w:tr>
      <w:tr w:rsidR="00AF1999">
        <w:trPr>
          <w:trHeight w:val="1096"/>
        </w:trPr>
        <w:tc>
          <w:tcPr>
            <w:tcW w:w="2398" w:type="dxa"/>
            <w:vAlign w:val="center"/>
          </w:tcPr>
          <w:p w:rsidR="00AF1999" w:rsidRDefault="003B5BB9">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Dizartriya nutq nuqsoni</w:t>
            </w:r>
          </w:p>
        </w:tc>
        <w:tc>
          <w:tcPr>
            <w:tcW w:w="5819" w:type="dxa"/>
          </w:tcPr>
          <w:p w:rsidR="00AF1999" w:rsidRDefault="003B5B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-dizartriya nutq nuqsoni o‘rganilish tarixi va etiologiyasi</w:t>
            </w:r>
          </w:p>
          <w:p w:rsidR="00AF1999" w:rsidRDefault="003B5BB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-dizartriya nutq nuqsoning shakllari va uning klinik belgilari</w:t>
            </w:r>
          </w:p>
          <w:p w:rsidR="00AF1999" w:rsidRDefault="003B5B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-nutq nuqsoning bartaraf etishga qaratilgan </w:t>
            </w:r>
            <w:r>
              <w:rPr>
                <w:rFonts w:ascii="Times New Roman" w:eastAsia="Times New Roman" w:hAnsi="Times New Roman" w:cs="Times New Roman"/>
                <w:color w:val="000000"/>
                <w:sz w:val="28"/>
                <w:szCs w:val="28"/>
              </w:rPr>
              <w:lastRenderedPageBreak/>
              <w:t>logopedik korreksion ish tizimi</w:t>
            </w:r>
          </w:p>
          <w:p w:rsidR="00AF1999" w:rsidRDefault="003B5BB9">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-dizartriyali bolalar bilan olib boriladigan metodikalarni tahlil qilish</w:t>
            </w:r>
          </w:p>
        </w:tc>
        <w:tc>
          <w:tcPr>
            <w:tcW w:w="1134" w:type="dxa"/>
          </w:tcPr>
          <w:p w:rsidR="00AF1999" w:rsidRDefault="003B5B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w:t>
            </w:r>
          </w:p>
        </w:tc>
      </w:tr>
      <w:tr w:rsidR="00AF1999">
        <w:trPr>
          <w:trHeight w:val="569"/>
        </w:trPr>
        <w:tc>
          <w:tcPr>
            <w:tcW w:w="9351" w:type="dxa"/>
            <w:gridSpan w:val="3"/>
            <w:shd w:val="clear" w:color="auto" w:fill="FFFFFF"/>
            <w:vAlign w:val="center"/>
          </w:tcPr>
          <w:p w:rsidR="00AF1999" w:rsidRDefault="003B5BB9">
            <w:pPr>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sz w:val="28"/>
                <w:szCs w:val="28"/>
              </w:rPr>
              <w:t>Tovush talaffuzi va ovoz rezonansi buzilishlari bo‘limi</w:t>
            </w:r>
          </w:p>
        </w:tc>
      </w:tr>
      <w:tr w:rsidR="00AF1999">
        <w:trPr>
          <w:trHeight w:val="840"/>
        </w:trPr>
        <w:tc>
          <w:tcPr>
            <w:tcW w:w="2398" w:type="dxa"/>
            <w:vAlign w:val="center"/>
          </w:tcPr>
          <w:p w:rsidR="00AF1999" w:rsidRDefault="003B5BB9">
            <w:pPr>
              <w:ind w:hanging="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Rinolaliya nutq nuqsoni</w:t>
            </w:r>
            <w:r>
              <w:rPr>
                <w:rFonts w:ascii="Times New Roman" w:eastAsia="Times New Roman" w:hAnsi="Times New Roman" w:cs="Times New Roman"/>
                <w:sz w:val="28"/>
                <w:szCs w:val="28"/>
              </w:rPr>
              <w:t xml:space="preserve"> </w:t>
            </w:r>
          </w:p>
        </w:tc>
        <w:tc>
          <w:tcPr>
            <w:tcW w:w="5819" w:type="dxa"/>
          </w:tcPr>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-rinolaliyani nutq nuqsoning  etiologiyasi</w:t>
            </w:r>
          </w:p>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-rinolalaliya nutq nuqsoning shakllari</w:t>
            </w:r>
          </w:p>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-rinolaliya mexanizmi va uning simptomatikasi</w:t>
            </w:r>
          </w:p>
          <w:p w:rsidR="00AF1999" w:rsidRDefault="003B5BB9">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-rinolaliyali bolalar bilan olib boriladigan logopedik ishlar tizimi</w:t>
            </w:r>
          </w:p>
        </w:tc>
        <w:tc>
          <w:tcPr>
            <w:tcW w:w="1134" w:type="dxa"/>
          </w:tcPr>
          <w:p w:rsidR="00AF1999" w:rsidRDefault="003B5B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AF1999">
        <w:trPr>
          <w:trHeight w:val="527"/>
        </w:trPr>
        <w:tc>
          <w:tcPr>
            <w:tcW w:w="9351" w:type="dxa"/>
            <w:gridSpan w:val="3"/>
            <w:vAlign w:val="center"/>
          </w:tcPr>
          <w:p w:rsidR="00AF1999" w:rsidRDefault="003B5BB9">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Nutqning umumiy rivojlanmaganligi bo‘limi</w:t>
            </w:r>
          </w:p>
        </w:tc>
      </w:tr>
      <w:tr w:rsidR="00AF1999">
        <w:trPr>
          <w:trHeight w:val="1355"/>
        </w:trPr>
        <w:tc>
          <w:tcPr>
            <w:tcW w:w="2398" w:type="dxa"/>
          </w:tcPr>
          <w:p w:rsidR="00AF1999" w:rsidRDefault="003B5BB9">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Alaliya nutq nuqsoni</w:t>
            </w:r>
          </w:p>
        </w:tc>
        <w:tc>
          <w:tcPr>
            <w:tcW w:w="5819" w:type="dxa"/>
          </w:tcPr>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-alaliya nutq nuqsoning o‘rganilish tarixi</w:t>
            </w:r>
          </w:p>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-alaliya nutq nuqsoning turlari</w:t>
            </w:r>
          </w:p>
          <w:p w:rsidR="00AF1999" w:rsidRDefault="003B5BB9">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-nutq nuqsoning klinik ko‘rinishlari</w:t>
            </w:r>
          </w:p>
          <w:p w:rsidR="00AF1999" w:rsidRDefault="003B5BB9">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-alaliyaning nutqiy bo‘lmagan belgilari</w:t>
            </w:r>
          </w:p>
        </w:tc>
        <w:tc>
          <w:tcPr>
            <w:tcW w:w="1134" w:type="dxa"/>
          </w:tcPr>
          <w:p w:rsidR="00AF1999" w:rsidRDefault="003B5BB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AF1999">
        <w:trPr>
          <w:trHeight w:val="280"/>
        </w:trPr>
        <w:tc>
          <w:tcPr>
            <w:tcW w:w="8217" w:type="dxa"/>
            <w:gridSpan w:val="2"/>
            <w:vAlign w:val="center"/>
          </w:tcPr>
          <w:p w:rsidR="00AF1999" w:rsidRDefault="003B5BB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Jami</w:t>
            </w:r>
          </w:p>
        </w:tc>
        <w:tc>
          <w:tcPr>
            <w:tcW w:w="1134" w:type="dxa"/>
          </w:tcPr>
          <w:p w:rsidR="00AF1999" w:rsidRDefault="003B5BB9">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 ta</w:t>
            </w:r>
          </w:p>
        </w:tc>
      </w:tr>
    </w:tbl>
    <w:p w:rsidR="00AF1999" w:rsidRDefault="003B5BB9" w:rsidP="002202F5">
      <w:pPr>
        <w:spacing w:before="240"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Pedagogik mahoratdan tuziladigan test topshiriqlarining mazmun sohasi va baholanadigan bilim va koʻnikmalari boʻyicha taqsimoti</w:t>
      </w:r>
    </w:p>
    <w:p w:rsidR="00AF1999" w:rsidRDefault="003B5BB9">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AF1999">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AF1999" w:rsidRDefault="003B5BB9">
            <w:pPr>
              <w:widowControl w:val="0"/>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PEDAGOGIK MAHORAT </w:t>
            </w:r>
            <w:r>
              <w:rPr>
                <w:rFonts w:ascii="Times New Roman" w:eastAsia="Times New Roman" w:hAnsi="Times New Roman" w:cs="Times New Roman"/>
                <w:b/>
                <w:bCs/>
                <w:sz w:val="28"/>
                <w:szCs w:val="28"/>
                <w:highlight w:val="white"/>
              </w:rPr>
              <w:t>(41 – 50-savollar)</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F1999" w:rsidRDefault="003B5BB9">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AF1999">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AF1999" w:rsidRDefault="003B5BB9">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lastRenderedPageBreak/>
              <w:t>2.Pedagogik mahorat</w:t>
            </w:r>
          </w:p>
        </w:tc>
        <w:tc>
          <w:tcPr>
            <w:tcW w:w="7087" w:type="dxa"/>
            <w:tcBorders>
              <w:top w:val="single" w:sz="4" w:space="0" w:color="000000"/>
              <w:left w:val="single" w:sz="4" w:space="0" w:color="000000"/>
              <w:bottom w:val="single" w:sz="4" w:space="0" w:color="000000"/>
              <w:right w:val="single" w:sz="4" w:space="0" w:color="000000"/>
            </w:tcBorders>
            <w:vAlign w:val="center"/>
          </w:tcPr>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 didaktika, tarbiya va yosh psixologiyasining asosiy tushunchalari va kotigoriyalari, pedagogik yondashuvlar va ta’lim paradigmalari (an’anaviy - konservativ, ratsionalistik (bixevioristik),  fenomenologik (gumanistik),  texnokratik va ezoterik)ini bilish va berilgan vaziyatga mosini tanlay olish;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pedagogikaning tamoyillari (onglilik va faollik, koʻrgazmalilik, tizimlilik va muntazamlik, ilmiylik, nazariya va amaliyot birligi va boshqalar)ni bilish va berilgan vaziyatga mosini tanlay olish;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tarbiya va uning turlarini bilish, bir-biridan farqlash va berilgan vaziyatga mosini tanlay olish;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 etika, nutq, texnika, ijodkorlik, pedagogik odob, bilimdonlik/kompetentlik, muloqot madaniyati, takt/nazokat, kreativlik, refleksiya va kasbiy oʻsish asoslarini bilishi va berilgan vaziyatga mosini tanlay olish;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pedagogik qobiliyat va uning turlari (didaktik qobiliyat, akademik qobiliyat, persiptiv-pedagogik qobiliyat, nutq </w:t>
            </w:r>
            <w:r>
              <w:rPr>
                <w:rFonts w:ascii="Times New Roman" w:eastAsia="Times New Roman" w:hAnsi="Times New Roman" w:cs="Times New Roman"/>
                <w:sz w:val="28"/>
                <w:szCs w:val="28"/>
              </w:rPr>
              <w:lastRenderedPageBreak/>
              <w:t>madaniyati, baholash madaniyati, texnologik madaniyat, tashkilotchilik qobiliyati, kommunikativ qobiliyat, avtoritar qobiliyat va boshqalar)ni bilish va konkret vaziyatlarda qoʻllay olish,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 maxsus pedagogika, inkluziv ta’limning nazariy asoslarni bilish, o‘quv-korreksion mashg‘ulot metodlarini farqlash;</w:t>
            </w:r>
          </w:p>
          <w:p w:rsidR="00AF1999" w:rsidRDefault="003B5BB9">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maxsus fanlarni o‘qitishda keyslar asosida to‘g‘ri pedagogik yechimni tanlash, rivojlanish dinamikasini baholash tamoyillarini va yondashuvlarni bilish, qaysi holatda qaysi trxnologiyalarning mosligini bilish;</w:t>
            </w:r>
          </w:p>
          <w:p w:rsidR="00AF1999" w:rsidRDefault="003B5B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test, so‘rovnoma, kuzatuv metodlarining qo‘llanish doirasini bilish va mos yondashuvni vaziyatga qarab tanlash.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F1999" w:rsidRDefault="003B5BB9">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10</w:t>
            </w:r>
          </w:p>
        </w:tc>
      </w:tr>
      <w:tr w:rsidR="00AF1999">
        <w:trPr>
          <w:gridAfter w:val="1"/>
          <w:wAfter w:w="7" w:type="dxa"/>
          <w:cantSplit/>
          <w:trHeight w:val="413"/>
        </w:trPr>
        <w:tc>
          <w:tcPr>
            <w:tcW w:w="8930" w:type="dxa"/>
            <w:gridSpan w:val="2"/>
            <w:tcBorders>
              <w:top w:val="single" w:sz="4" w:space="0" w:color="000000"/>
              <w:left w:val="single" w:sz="4" w:space="0" w:color="000000"/>
              <w:bottom w:val="single" w:sz="4" w:space="0" w:color="000000"/>
              <w:right w:val="single" w:sz="4" w:space="0" w:color="000000"/>
            </w:tcBorders>
            <w:vAlign w:val="center"/>
          </w:tcPr>
          <w:p w:rsidR="00AF1999" w:rsidRDefault="003B5BB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Jami</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F1999" w:rsidRDefault="003B5BB9">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highlight w:val="white"/>
              </w:rPr>
              <w:t>10 ta</w:t>
            </w:r>
          </w:p>
        </w:tc>
      </w:tr>
    </w:tbl>
    <w:p w:rsidR="00AF1999" w:rsidRDefault="00AF1999">
      <w:pPr>
        <w:spacing w:after="0" w:line="276" w:lineRule="auto"/>
        <w:jc w:val="center"/>
        <w:rPr>
          <w:rFonts w:ascii="Times New Roman" w:eastAsia="Times New Roman" w:hAnsi="Times New Roman" w:cs="Times New Roman"/>
          <w:b/>
          <w:bCs/>
          <w:sz w:val="28"/>
          <w:szCs w:val="28"/>
        </w:rPr>
      </w:pPr>
    </w:p>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AF1999" w:rsidRDefault="003B5BB9">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5271"/>
        <w:gridCol w:w="1817"/>
      </w:tblGrid>
      <w:tr w:rsidR="00AF1999" w:rsidTr="002202F5">
        <w:trPr>
          <w:trHeight w:val="285"/>
        </w:trPr>
        <w:tc>
          <w:tcPr>
            <w:tcW w:w="720" w:type="dxa"/>
            <w:vAlign w:val="center"/>
          </w:tcPr>
          <w:p w:rsidR="00AF1999" w:rsidRDefault="003B5BB9">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3" w:type="dxa"/>
            <w:vAlign w:val="center"/>
          </w:tcPr>
          <w:p w:rsidR="00AF1999" w:rsidRDefault="003B5BB9">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817" w:type="dxa"/>
            <w:vAlign w:val="center"/>
          </w:tcPr>
          <w:p w:rsidR="00AF1999" w:rsidRDefault="003B5BB9">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AF1999" w:rsidTr="002202F5">
        <w:trPr>
          <w:trHeight w:val="873"/>
        </w:trPr>
        <w:tc>
          <w:tcPr>
            <w:tcW w:w="720" w:type="dxa"/>
            <w:vAlign w:val="center"/>
          </w:tcPr>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AF1999" w:rsidRDefault="003B5BB9">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AF1999" w:rsidRDefault="003B5BB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817" w:type="dxa"/>
            <w:vAlign w:val="center"/>
          </w:tcPr>
          <w:p w:rsidR="00AF1999" w:rsidRDefault="003B5BB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AF1999" w:rsidTr="002202F5">
        <w:trPr>
          <w:trHeight w:val="873"/>
        </w:trPr>
        <w:tc>
          <w:tcPr>
            <w:tcW w:w="720" w:type="dxa"/>
            <w:vAlign w:val="center"/>
          </w:tcPr>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AF1999" w:rsidRDefault="003B5BB9">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AF1999" w:rsidRDefault="003B5BB9">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817" w:type="dxa"/>
            <w:vAlign w:val="center"/>
          </w:tcPr>
          <w:p w:rsidR="00AF1999" w:rsidRDefault="003B5BB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AF1999" w:rsidTr="002202F5">
        <w:trPr>
          <w:trHeight w:val="1158"/>
        </w:trPr>
        <w:tc>
          <w:tcPr>
            <w:tcW w:w="720" w:type="dxa"/>
            <w:vAlign w:val="center"/>
          </w:tcPr>
          <w:p w:rsidR="00AF1999" w:rsidRDefault="003B5BB9">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AF1999" w:rsidRDefault="003B5BB9">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AF1999" w:rsidRDefault="003B5BB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817" w:type="dxa"/>
            <w:vAlign w:val="center"/>
          </w:tcPr>
          <w:p w:rsidR="00AF1999" w:rsidRDefault="003B5BB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AF1999" w:rsidRDefault="00AF1999">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AF1999" w:rsidRDefault="003B5BB9">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AF1999" w:rsidRDefault="003B5BB9">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VI. Imtihon tartibi</w:t>
      </w: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AF1999" w:rsidRDefault="003B5BB9">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AF1999" w:rsidRDefault="00AF1999">
      <w:pPr>
        <w:widowControl w:val="0"/>
        <w:spacing w:after="0" w:line="276" w:lineRule="auto"/>
        <w:ind w:firstLine="567"/>
        <w:jc w:val="center"/>
        <w:rPr>
          <w:rFonts w:ascii="Times New Roman" w:eastAsia="Times New Roman" w:hAnsi="Times New Roman" w:cs="Times New Roman"/>
          <w:color w:val="1F3864"/>
          <w:sz w:val="28"/>
          <w:szCs w:val="28"/>
        </w:rPr>
      </w:pPr>
    </w:p>
    <w:p w:rsidR="00AF1999" w:rsidRDefault="00AF1999">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AF1999" w:rsidRDefault="003B5BB9">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Logopediya fanidan tavsiya etiladigan asosiy adabiyotlar</w:t>
      </w:r>
    </w:p>
    <w:p w:rsidR="00AF1999" w:rsidRDefault="00AF1999">
      <w:pPr>
        <w:widowControl w:val="0"/>
        <w:pBdr>
          <w:top w:val="nil"/>
          <w:left w:val="nil"/>
          <w:bottom w:val="nil"/>
          <w:right w:val="nil"/>
          <w:between w:val="nil"/>
        </w:pBdr>
        <w:spacing w:after="0" w:line="240" w:lineRule="auto"/>
        <w:ind w:firstLine="567"/>
        <w:rPr>
          <w:rFonts w:ascii="Times New Roman" w:eastAsia="Times New Roman" w:hAnsi="Times New Roman" w:cs="Times New Roman"/>
          <w:b/>
          <w:bCs/>
          <w:color w:val="000000"/>
          <w:sz w:val="14"/>
          <w:szCs w:val="14"/>
        </w:rPr>
      </w:pP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M.Ayupova. Logopediya. O‘zbekiston faylasuflari milliy jamiyati  nashriyoti. Toshkent -2019</w:t>
      </w:r>
    </w:p>
    <w:p w:rsidR="00AF1999" w:rsidRDefault="003B5BB9">
      <w:pPr>
        <w:spacing w:after="0" w:line="240" w:lineRule="auto"/>
        <w:ind w:right="2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L.Muminova,</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M.Ayupova. Logopediya. O`qituvchi nashriyoti. Toshkent -1993</w:t>
      </w:r>
      <w:r>
        <w:rPr>
          <w:rFonts w:ascii="Times New Roman" w:eastAsia="Times New Roman" w:hAnsi="Times New Roman" w:cs="Times New Roman"/>
          <w:sz w:val="28"/>
          <w:szCs w:val="28"/>
        </w:rPr>
        <w:tab/>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Shomaxmudova R.Sh., Mo‘minova L.R. Bolalar nutqidagi nuqsonlar va ularni bartaraf etish. O‘qituvchi.  T.: 1993 y.</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Т.Б.Филичева   “Логопедия Теория и Практика”  Москва  “Эсмо “ 2022г.</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Е.Ф. Архипова “Стертая дизартрия у детей” М; АСТ Астрел, 2007г</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И.А.Смирнова “Логопедия иллюстрированный  справочник” КАРО Санкт-Петербург 2022 г.</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Л. С. Волкова “Логопедия” 2009 год</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Т.Б.Филичева, Н. А. Чевелёва, Г. Чиркина “Основы логопедии” </w:t>
      </w:r>
    </w:p>
    <w:p w:rsidR="00AF1999" w:rsidRDefault="003B5BB9">
      <w:pPr>
        <w:tabs>
          <w:tab w:val="left" w:pos="406"/>
        </w:tabs>
        <w:spacing w:before="47"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Акименко “Практикум по логопедии”</w:t>
      </w:r>
    </w:p>
    <w:p w:rsidR="00AF1999" w:rsidRDefault="00AF1999">
      <w:pPr>
        <w:spacing w:after="0"/>
        <w:jc w:val="both"/>
        <w:rPr>
          <w:rFonts w:ascii="Times New Roman" w:eastAsia="Times New Roman" w:hAnsi="Times New Roman" w:cs="Times New Roman"/>
          <w:sz w:val="12"/>
          <w:szCs w:val="12"/>
        </w:rPr>
      </w:pP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r>
        <w:rPr>
          <w:rFonts w:ascii="Times New Roman" w:eastAsia="Times New Roman" w:hAnsi="Times New Roman" w:cs="Times New Roman"/>
          <w:sz w:val="28"/>
          <w:szCs w:val="28"/>
        </w:rPr>
        <w:t xml:space="preserve"> </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“Innavatsiya-ziyo” nashriyoti, 2019. – 276 b.</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Iskandarov A.Yu., Azamatova D.S., Ismatov I. Sh. “Kimyo oʻqitish metodikasi” Toshkent; Zebo print; 2024</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Mamadaliyeva N.I., Shomurotova SH.X., Oʻrinova O.Oʻ., Mirzamatova SH. “Kimyo oʻqitish metodikasi”. Toshkent 2024</w:t>
      </w:r>
    </w:p>
    <w:p w:rsidR="00AF1999" w:rsidRDefault="003B5BB9">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A.M. Jumanov., F.A.Alimova., Gʻ.M.Mochilov., O.K.Ergashev. </w:t>
      </w:r>
      <w:r>
        <w:t xml:space="preserve"> </w:t>
      </w:r>
      <w:r>
        <w:rPr>
          <w:rFonts w:ascii="Times New Roman" w:eastAsia="Times New Roman" w:hAnsi="Times New Roman" w:cs="Times New Roman"/>
          <w:sz w:val="28"/>
          <w:szCs w:val="28"/>
        </w:rPr>
        <w:t>“Mutaxassislik fanlarni oʻqitish metodikasi”  2020</w:t>
      </w:r>
    </w:p>
    <w:p w:rsidR="00AF1999" w:rsidRDefault="00AF1999">
      <w:pPr>
        <w:spacing w:after="0"/>
        <w:jc w:val="both"/>
        <w:rPr>
          <w:rFonts w:ascii="Times New Roman" w:eastAsia="Times New Roman" w:hAnsi="Times New Roman" w:cs="Times New Roman"/>
          <w:b/>
          <w:bCs/>
          <w:sz w:val="14"/>
          <w:szCs w:val="14"/>
        </w:rPr>
      </w:pPr>
    </w:p>
    <w:p w:rsidR="00AF1999" w:rsidRDefault="003B5BB9">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p>
    <w:p w:rsidR="00AF1999" w:rsidRDefault="003B5BB9" w:rsidP="002202F5">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AF1999">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8B9" w:rsidRDefault="00D808B9">
      <w:pPr>
        <w:spacing w:after="0" w:line="240" w:lineRule="auto"/>
      </w:pPr>
      <w:r>
        <w:separator/>
      </w:r>
    </w:p>
  </w:endnote>
  <w:endnote w:type="continuationSeparator" w:id="0">
    <w:p w:rsidR="00D808B9" w:rsidRDefault="00D80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4FFD79E-40B3-44BA-B12B-D38116A63BDB}"/>
    <w:embedItalic r:id="rId2" w:fontKey="{1F25D394-C5E9-4951-A410-AE7CD1F7F1F6}"/>
  </w:font>
  <w:font w:name="Calibri Light">
    <w:panose1 w:val="020F0302020204030204"/>
    <w:charset w:val="CC"/>
    <w:family w:val="swiss"/>
    <w:pitch w:val="variable"/>
    <w:sig w:usb0="E4002EFF" w:usb1="C200247B" w:usb2="00000009" w:usb3="00000000" w:csb0="000001FF" w:csb1="00000000"/>
    <w:embedRegular r:id="rId3" w:fontKey="{75717252-C379-4F24-8945-1D0789A472E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8B9" w:rsidRDefault="00D808B9">
      <w:pPr>
        <w:spacing w:after="0" w:line="240" w:lineRule="auto"/>
      </w:pPr>
      <w:r>
        <w:separator/>
      </w:r>
    </w:p>
  </w:footnote>
  <w:footnote w:type="continuationSeparator" w:id="0">
    <w:p w:rsidR="00D808B9" w:rsidRDefault="00D80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999" w:rsidRDefault="00AF199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C076B"/>
    <w:multiLevelType w:val="multilevel"/>
    <w:tmpl w:val="A5149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C51BAB"/>
    <w:multiLevelType w:val="multilevel"/>
    <w:tmpl w:val="5AF4B112"/>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99"/>
    <w:rsid w:val="002202F5"/>
    <w:rsid w:val="003B5BB9"/>
    <w:rsid w:val="008C7B71"/>
    <w:rsid w:val="00AF1999"/>
    <w:rsid w:val="00D80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75808"/>
  <w15:docId w15:val="{EEA86D69-8169-4670-9A9C-5663967F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customStyle="1" w:styleId="TableParagraph">
    <w:name w:val="Table Paragraph"/>
    <w:uiPriority w:val="1"/>
    <w:qFormat/>
    <w:rsid w:val="00D64B02"/>
    <w:pPr>
      <w:widowControl w:val="0"/>
      <w:autoSpaceDE w:val="0"/>
      <w:autoSpaceDN w:val="0"/>
      <w:spacing w:after="0" w:line="240" w:lineRule="auto"/>
    </w:pPr>
    <w:rPr>
      <w:rFonts w:ascii="Times New Roman" w:eastAsia="Times New Roman" w:hAnsi="Times New Roman" w:cs="Times New Roman"/>
      <w:lang w:val="id" w:eastAsia="en-US"/>
    </w:r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2h6BssFkZmw7teGEohstmmqbZg==">CgMxLjAyDmguM3F1Y2RjeWludmV5Mg5oLmMzcDZsYXpkdWc5eDgAciExc1RlNS1uTExJX3QyYkRSWkFWXzRBOFBfMWlxVnFzeGU=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1635</Words>
  <Characters>9325</Characters>
  <Application>Microsoft Office Word</Application>
  <DocSecurity>0</DocSecurity>
  <Lines>77</Lines>
  <Paragraphs>21</Paragraphs>
  <ScaleCrop>false</ScaleCrop>
  <Company>SPecialiST RePack</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5</cp:revision>
  <dcterms:created xsi:type="dcterms:W3CDTF">2026-03-16T14:40:00Z</dcterms:created>
  <dcterms:modified xsi:type="dcterms:W3CDTF">2026-04-08T10:18:00Z</dcterms:modified>
</cp:coreProperties>
</file>