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5BF" w:rsidRDefault="004001E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E535BF" w:rsidRDefault="004001EA">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E535BF" w:rsidRDefault="004001EA">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CHAQIRUVGA QADAR BOSHLANGʻICH TAYYORGARLIK FANIDAN KASBIY SERTIFIKATLASH TEST TOPSHIRIQLARI </w:t>
      </w:r>
    </w:p>
    <w:p w:rsidR="00E535BF" w:rsidRDefault="004001EA">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E535BF" w:rsidRDefault="004001EA">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E535BF">
      <w:pPr>
        <w:spacing w:before="240" w:after="240" w:line="276" w:lineRule="auto"/>
        <w:ind w:firstLine="20"/>
        <w:jc w:val="center"/>
        <w:rPr>
          <w:rFonts w:ascii="Times New Roman" w:eastAsia="Times New Roman" w:hAnsi="Times New Roman" w:cs="Times New Roman"/>
          <w:b/>
          <w:bCs/>
          <w:sz w:val="28"/>
          <w:szCs w:val="28"/>
        </w:rPr>
      </w:pPr>
    </w:p>
    <w:p w:rsidR="00E535BF" w:rsidRDefault="00E535BF">
      <w:pPr>
        <w:spacing w:before="240" w:after="240" w:line="276" w:lineRule="auto"/>
        <w:ind w:firstLine="20"/>
        <w:jc w:val="center"/>
        <w:rPr>
          <w:rFonts w:ascii="Times New Roman" w:eastAsia="Times New Roman" w:hAnsi="Times New Roman" w:cs="Times New Roman"/>
          <w:b/>
          <w:bCs/>
          <w:sz w:val="28"/>
          <w:szCs w:val="28"/>
        </w:rPr>
      </w:pPr>
    </w:p>
    <w:p w:rsidR="00E535BF" w:rsidRDefault="004001EA">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E535BF">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E535BF" w:rsidRDefault="004001EA">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E535BF" w:rsidRDefault="004001EA">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E535BF" w:rsidRDefault="004001EA">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CHAQIRUVGA QADAR BOSHLANGʻICH TAYYORGARLIK FANIDAN KASBIY SERTIFIKATLASH TEST TOPSHIRIQLARI </w:t>
      </w:r>
    </w:p>
    <w:p w:rsidR="00E535BF" w:rsidRDefault="004001EA">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SPETSIFIKATSIYASI</w:t>
      </w:r>
    </w:p>
    <w:p w:rsidR="00E535BF" w:rsidRDefault="00E535BF">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E535BF" w:rsidRDefault="004001EA">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w:t>
      </w:r>
      <w:r>
        <w:rPr>
          <w:rFonts w:ascii="Times New Roman" w:eastAsia="Times New Roman" w:hAnsi="Times New Roman" w:cs="Times New Roman"/>
          <w:sz w:val="28"/>
          <w:szCs w:val="28"/>
        </w:rPr>
        <w:t>Chaqiruvga qadar boshlangʻich tayyorgarlik</w:t>
      </w:r>
      <w:r>
        <w:rPr>
          <w:rFonts w:ascii="Times New Roman" w:eastAsia="Times New Roman" w:hAnsi="Times New Roman" w:cs="Times New Roman"/>
          <w:color w:val="000000"/>
          <w:sz w:val="28"/>
          <w:szCs w:val="28"/>
        </w:rPr>
        <w:t xml:space="preserve"> fani o‘qituvchilarining kasbiy bilim, </w:t>
      </w:r>
      <w:proofErr w:type="gramStart"/>
      <w:r>
        <w:rPr>
          <w:rFonts w:ascii="Times New Roman" w:eastAsia="Times New Roman" w:hAnsi="Times New Roman" w:cs="Times New Roman"/>
          <w:color w:val="000000"/>
          <w:sz w:val="28"/>
          <w:szCs w:val="28"/>
        </w:rPr>
        <w:t>ko‘nikma</w:t>
      </w:r>
      <w:proofErr w:type="gramEnd"/>
      <w:r>
        <w:rPr>
          <w:rFonts w:ascii="Times New Roman" w:eastAsia="Times New Roman" w:hAnsi="Times New Roman" w:cs="Times New Roman"/>
          <w:color w:val="000000"/>
          <w:sz w:val="28"/>
          <w:szCs w:val="28"/>
        </w:rPr>
        <w:t xml:space="preserve"> va kompetensiyalarini baholash uchun qo‘llaniladigan test sinovlarining mazmuni, tuzilmasi va baholash mezonlarini belgilaydi.</w:t>
      </w:r>
    </w:p>
    <w:p w:rsidR="00E535BF" w:rsidRDefault="004001EA">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E535BF" w:rsidRDefault="004001EA">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hujjat test topshiriqlarini ishlab chiqishda metodik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 hamda baholash jarayonining shaffofligi, adolatliligi va ilmiy asoslanganligini ta’minlashga qaratilgan.</w:t>
      </w:r>
    </w:p>
    <w:p w:rsidR="00E535BF" w:rsidRDefault="004001EA">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E535BF" w:rsidRDefault="004001EA">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Baholashning asosiy maqsadi </w:t>
      </w:r>
      <w:r>
        <w:rPr>
          <w:rFonts w:ascii="Times New Roman" w:eastAsia="Times New Roman" w:hAnsi="Times New Roman" w:cs="Times New Roman"/>
          <w:sz w:val="28"/>
          <w:szCs w:val="28"/>
        </w:rPr>
        <w:t>Chaqiruvga qadar boshlangʻich tayyorgarlik</w:t>
      </w:r>
      <w:r>
        <w:rPr>
          <w:rFonts w:ascii="Times New Roman" w:eastAsia="Times New Roman" w:hAnsi="Times New Roman" w:cs="Times New Roman"/>
          <w:color w:val="000000"/>
          <w:sz w:val="28"/>
          <w:szCs w:val="28"/>
        </w:rPr>
        <w:t xml:space="preserve"> fani o‘qituvchilarining fan bo‘yicha nazariy bilimlari, amaliy faoliyat</w:t>
      </w:r>
      <w:r>
        <w:rPr>
          <w:rFonts w:ascii="Times New Roman" w:eastAsia="Times New Roman" w:hAnsi="Times New Roman" w:cs="Times New Roman"/>
          <w:sz w:val="28"/>
          <w:szCs w:val="28"/>
        </w:rPr>
        <w:t xml:space="preserve"> ko‘nikmalari</w:t>
      </w:r>
      <w:r>
        <w:rPr>
          <w:rFonts w:ascii="Times New Roman" w:eastAsia="Times New Roman" w:hAnsi="Times New Roman" w:cs="Times New Roman"/>
          <w:color w:val="000000"/>
          <w:sz w:val="28"/>
          <w:szCs w:val="28"/>
        </w:rPr>
        <w:t xml:space="preserve">ni tashkil etish kompetensiyasi, </w:t>
      </w:r>
      <w:r>
        <w:rPr>
          <w:rFonts w:ascii="Times New Roman" w:eastAsia="Times New Roman" w:hAnsi="Times New Roman" w:cs="Times New Roman"/>
          <w:sz w:val="28"/>
          <w:szCs w:val="28"/>
        </w:rPr>
        <w:t>Chaqiruvga qadar boshlangʻich tayyorgarlik</w:t>
      </w:r>
      <w:r>
        <w:rPr>
          <w:rFonts w:ascii="Times New Roman" w:eastAsia="Times New Roman" w:hAnsi="Times New Roman" w:cs="Times New Roman"/>
          <w:color w:val="000000"/>
          <w:sz w:val="28"/>
          <w:szCs w:val="28"/>
        </w:rPr>
        <w:t xml:space="preserve"> fanini o‘qitish metodikasi </w:t>
      </w:r>
      <w:proofErr w:type="gramStart"/>
      <w:r>
        <w:rPr>
          <w:rFonts w:ascii="Times New Roman" w:eastAsia="Times New Roman" w:hAnsi="Times New Roman" w:cs="Times New Roman"/>
          <w:color w:val="000000"/>
          <w:sz w:val="28"/>
          <w:szCs w:val="28"/>
        </w:rPr>
        <w:t>bo‘yicha</w:t>
      </w:r>
      <w:proofErr w:type="gramEnd"/>
      <w:r>
        <w:rPr>
          <w:rFonts w:ascii="Times New Roman" w:eastAsia="Times New Roman" w:hAnsi="Times New Roman" w:cs="Times New Roman"/>
          <w:color w:val="000000"/>
          <w:sz w:val="28"/>
          <w:szCs w:val="28"/>
        </w:rPr>
        <w:t xml:space="preserve"> bilimlari, pedagogik mahorati va kasbiy kompetensiyalarini kompleks baholashdan iborat. Baholash natijalari pedagog kadrlarni kasbiy sertifikatlash jarayonida qaror qabul qilish uchun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w:t>
      </w:r>
    </w:p>
    <w:p w:rsidR="00E535BF" w:rsidRDefault="004001EA">
      <w:pPr>
        <w:spacing w:before="240"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E535BF" w:rsidRDefault="004001EA">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O‘zbekiston Respublikasi Vazirlar Mahkamasining 2024-yil 12-fevraldagi “Davlat 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umumiy o‘rta ta’lim tashkilotlari pedagog kadrlarini kasbiy sertifikatlash bo‘yicha davlat xizmatlarini ko‘rsatishning ma’muriy reglamentini tasdiqlash to‘g‘risida” 87-son qarori.</w:t>
      </w:r>
    </w:p>
    <w:p w:rsidR="00E535BF" w:rsidRDefault="004001EA">
      <w:pPr>
        <w:numPr>
          <w:ilvl w:val="0"/>
          <w:numId w:val="1"/>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Maktabgacha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maktab ta’limi vazirining 2026-yil 25-fevraldagi “Davlat maktabgacha va umumiy oʻrta taʼlim tashkilotlari pedagog kadrlarini kasbiy sertifikatlash nazorat sinovidan oʻtkazishni tashkil etish toʻgʻrisida”gi 81-son buyrug‘i.</w:t>
      </w:r>
    </w:p>
    <w:p w:rsidR="00E535BF" w:rsidRDefault="004001EA">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Chaqiruvga qadar boshlangʻich tayyorgarlik (CHQBT) fani oʻqituvchilari </w:t>
      </w:r>
      <w:r>
        <w:rPr>
          <w:rFonts w:ascii="Times New Roman" w:eastAsia="Times New Roman" w:hAnsi="Times New Roman" w:cs="Times New Roman"/>
          <w:sz w:val="28"/>
          <w:szCs w:val="28"/>
        </w:rPr>
        <w:lastRenderedPageBreak/>
        <w:t xml:space="preserve">uchun mutaxassislik fanidan 40 ta, pedagogik mahoratdan 10 ta, </w:t>
      </w:r>
      <w:proofErr w:type="gramStart"/>
      <w:r>
        <w:rPr>
          <w:rFonts w:ascii="Times New Roman" w:eastAsia="Times New Roman" w:hAnsi="Times New Roman" w:cs="Times New Roman"/>
          <w:sz w:val="28"/>
          <w:szCs w:val="28"/>
        </w:rPr>
        <w:t>jami</w:t>
      </w:r>
      <w:proofErr w:type="gramEnd"/>
      <w:r>
        <w:rPr>
          <w:rFonts w:ascii="Times New Roman" w:eastAsia="Times New Roman" w:hAnsi="Times New Roman" w:cs="Times New Roman"/>
          <w:sz w:val="28"/>
          <w:szCs w:val="28"/>
        </w:rPr>
        <w:t xml:space="preserve">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 xml:space="preserve">yagona toʻgʻri javobni talab qiladigan (Y1), moslashtirishni talab qiladigan (Y2)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ketma-ketlikni talab qiladigan test topshiriqlari (Y3</w:t>
      </w:r>
      <w:r>
        <w:rPr>
          <w:rFonts w:ascii="Times New Roman" w:eastAsia="Times New Roman" w:hAnsi="Times New Roman" w:cs="Times New Roman"/>
          <w:sz w:val="28"/>
          <w:szCs w:val="28"/>
        </w:rPr>
        <w:t xml:space="preserve">) foydalaniladi. Mutaxassislik fanlaridan tuziladigan test topshiriqlarining mazmun sohasi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baholanadigan bilim va koʻnikmalar boʻyicha taqsimoti quyidagi jadvalda aks etgan. </w:t>
      </w:r>
    </w:p>
    <w:p w:rsidR="00E535BF" w:rsidRDefault="004001EA">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E535BF" w:rsidRDefault="00E535BF">
      <w:pPr>
        <w:widowControl w:val="0"/>
        <w:spacing w:after="0" w:line="276" w:lineRule="auto"/>
        <w:ind w:firstLine="567"/>
        <w:jc w:val="center"/>
        <w:rPr>
          <w:rFonts w:ascii="Times New Roman" w:eastAsia="Times New Roman" w:hAnsi="Times New Roman" w:cs="Times New Roman"/>
          <w:b/>
          <w:bCs/>
          <w:sz w:val="28"/>
          <w:szCs w:val="28"/>
        </w:rPr>
      </w:pP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Test sinovi Chaqiruvga qadar boshlangʻich tayyorgarlik fanining asosiy mazmun yo‘nalishlarini qamrab oladi. Xususan, test topshiriqlari harbiy xizmat asoslari, harbiy nizomlar, otish tayyorgarligi, taktik tayyorgarlik, fuqaro muhofazasi, tibbiy bilim asoslari,</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Chaqiruvga qadar boshlangʻich tayyorgarlik fanini o‘qitish metodikasi va pedagogik mahoratga oid bilim hamda ko‘nikmalarni baholashga qaratilgan. Test topshiriqlarining mazmuni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ta’limning davlat ta’lim standartlari, amaldagi o‘quv dasturlari hamda fan bo‘yicha metodik talablar asosida shakllantiriladi.</w:t>
      </w:r>
    </w:p>
    <w:p w:rsidR="00E535BF" w:rsidRDefault="004001EA">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w:t>
      </w:r>
      <w:proofErr w:type="gramStart"/>
      <w:r>
        <w:rPr>
          <w:rFonts w:ascii="Times New Roman" w:eastAsia="Times New Roman" w:hAnsi="Times New Roman" w:cs="Times New Roman"/>
          <w:b/>
          <w:bCs/>
          <w:color w:val="000000"/>
          <w:sz w:val="28"/>
          <w:szCs w:val="28"/>
        </w:rPr>
        <w:t>va</w:t>
      </w:r>
      <w:proofErr w:type="gramEnd"/>
      <w:r>
        <w:rPr>
          <w:rFonts w:ascii="Times New Roman" w:eastAsia="Times New Roman" w:hAnsi="Times New Roman" w:cs="Times New Roman"/>
          <w:b/>
          <w:bCs/>
          <w:color w:val="000000"/>
          <w:sz w:val="28"/>
          <w:szCs w:val="28"/>
        </w:rPr>
        <w:t xml:space="preserve"> baholanadigan bilim va koʻnikmalari boʻyicha taqsimoti </w:t>
      </w:r>
    </w:p>
    <w:p w:rsidR="00E535BF" w:rsidRDefault="004001EA">
      <w:pPr>
        <w:pBdr>
          <w:top w:val="nil"/>
          <w:left w:val="nil"/>
          <w:bottom w:val="nil"/>
          <w:right w:val="nil"/>
          <w:between w:val="nil"/>
        </w:pBdr>
        <w:spacing w:after="0" w:line="276"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1-jadval</w:t>
      </w:r>
    </w:p>
    <w:p w:rsidR="00E535BF" w:rsidRDefault="00E535BF">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p>
    <w:tbl>
      <w:tblPr>
        <w:tblStyle w:val="afd"/>
        <w:tblW w:w="1018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5535"/>
        <w:gridCol w:w="960"/>
      </w:tblGrid>
      <w:tr w:rsidR="00E535BF">
        <w:tc>
          <w:tcPr>
            <w:tcW w:w="3690" w:type="dxa"/>
            <w:vAlign w:val="center"/>
          </w:tcPr>
          <w:p w:rsidR="00E535BF" w:rsidRDefault="004001EA">
            <w:pPr>
              <w:widowControl w:val="0"/>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Mazmun soha</w:t>
            </w:r>
          </w:p>
        </w:tc>
        <w:tc>
          <w:tcPr>
            <w:tcW w:w="5535" w:type="dxa"/>
            <w:vAlign w:val="center"/>
          </w:tcPr>
          <w:p w:rsidR="00E535BF" w:rsidRDefault="004001EA">
            <w:pPr>
              <w:widowControl w:val="0"/>
              <w:spacing w:line="276"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sz w:val="26"/>
                <w:szCs w:val="26"/>
              </w:rPr>
              <w:t>Baholanadigan konstruktlar</w:t>
            </w:r>
          </w:p>
        </w:tc>
        <w:tc>
          <w:tcPr>
            <w:tcW w:w="960" w:type="dxa"/>
            <w:vAlign w:val="center"/>
          </w:tcPr>
          <w:p w:rsidR="00E535BF" w:rsidRDefault="004001EA">
            <w:pPr>
              <w:widowControl w:val="0"/>
              <w:spacing w:line="276" w:lineRule="auto"/>
              <w:ind w:left="1" w:hanging="3"/>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sz w:val="26"/>
                <w:szCs w:val="26"/>
              </w:rPr>
              <w:t>Testlar soni</w:t>
            </w:r>
          </w:p>
        </w:tc>
      </w:tr>
      <w:tr w:rsidR="00E535BF">
        <w:tc>
          <w:tcPr>
            <w:tcW w:w="10185" w:type="dxa"/>
            <w:gridSpan w:val="3"/>
            <w:vAlign w:val="center"/>
          </w:tcPr>
          <w:p w:rsidR="00E535BF" w:rsidRDefault="004001EA">
            <w:pPr>
              <w:widowControl w:val="0"/>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1.Harbiy xizmat asoslari</w:t>
            </w:r>
          </w:p>
        </w:tc>
      </w:tr>
      <w:tr w:rsidR="00E535BF">
        <w:trPr>
          <w:cantSplit/>
          <w:trHeight w:val="1215"/>
        </w:trPr>
        <w:tc>
          <w:tcPr>
            <w:tcW w:w="3690" w:type="dxa"/>
            <w:vMerge w:val="restart"/>
            <w:tcBorders>
              <w:bottom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 Harbiy xizmat asoslari</w:t>
            </w:r>
          </w:p>
        </w:tc>
        <w:tc>
          <w:tcPr>
            <w:tcW w:w="5535" w:type="dxa"/>
            <w:vMerge w:val="restart"/>
            <w:tcBorders>
              <w:bottom w:val="single" w:sz="4" w:space="0" w:color="000000"/>
            </w:tcBorders>
          </w:tcPr>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Oʻzbekiston Respublikasi Konstitutsiyasida belgilangan huquq va majburiyatlarni bilish, moddalarni farqlash hamda hayotiy vaziyatlarda qoʻllash, tahlil qilish;</w:t>
            </w:r>
          </w:p>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Oʻzbekiston Respublikasining mudofaa doktrinasi mazmun-mohiyatini bilish, huquq va majburiyatlarni farqlash hamda ularni hayotiy vaziyatlarda qoʻllash, tahlil qilish;</w:t>
            </w:r>
          </w:p>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“Umumharbiy majburiyat va harbiy xizmat </w:t>
            </w:r>
            <w:r>
              <w:rPr>
                <w:rFonts w:ascii="Times New Roman" w:eastAsia="Times New Roman" w:hAnsi="Times New Roman" w:cs="Times New Roman"/>
                <w:sz w:val="28"/>
                <w:szCs w:val="28"/>
              </w:rPr>
              <w:lastRenderedPageBreak/>
              <w:t>toʻgʻrisida”gi qonun va “Oʻzbekiston Respublikasi fuqarolarining harbiy xizmatni oʻtash tartibi toʻgʻrisida” gi qonunlarning mazmun-mohiyatini bilish, berilgan vaziyatda qoʻllash, taqqoslash, tahlil qilish;</w:t>
            </w:r>
          </w:p>
          <w:p w:rsidR="00E535BF" w:rsidRDefault="004001EA">
            <w:pPr>
              <w:widowControl w:val="0"/>
              <w:spacing w:line="276"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Oʻzbekiston Respublikasi Qurolli kuchlari tashkil etilishining maqsadi va ahamiyatini bilish, uning vazifalarini tahlil qilish;</w:t>
            </w:r>
          </w:p>
        </w:tc>
        <w:tc>
          <w:tcPr>
            <w:tcW w:w="960" w:type="dxa"/>
            <w:vMerge w:val="restart"/>
            <w:tcBorders>
              <w:bottom w:val="single" w:sz="4" w:space="0" w:color="000000"/>
            </w:tcBorders>
            <w:vAlign w:val="center"/>
          </w:tcPr>
          <w:p w:rsidR="00E535BF" w:rsidRDefault="004001EA">
            <w:pPr>
              <w:widowControl w:val="0"/>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ta</w:t>
            </w:r>
          </w:p>
        </w:tc>
      </w:tr>
      <w:tr w:rsidR="00E535BF">
        <w:trPr>
          <w:cantSplit/>
          <w:trHeight w:val="854"/>
        </w:trPr>
        <w:tc>
          <w:tcPr>
            <w:tcW w:w="3690" w:type="dxa"/>
            <w:vMerge/>
            <w:tcBorders>
              <w:bottom w:val="single" w:sz="4" w:space="0" w:color="000000"/>
            </w:tcBorders>
            <w:vAlign w:val="center"/>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535" w:type="dxa"/>
            <w:vMerge/>
            <w:tcBorders>
              <w:bottom w:val="single" w:sz="4" w:space="0" w:color="000000"/>
            </w:tcBorders>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60" w:type="dxa"/>
            <w:vMerge/>
            <w:tcBorders>
              <w:bottom w:val="single" w:sz="4" w:space="0" w:color="000000"/>
            </w:tcBorders>
            <w:vAlign w:val="center"/>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E535BF">
        <w:trPr>
          <w:cantSplit/>
          <w:trHeight w:val="1417"/>
        </w:trPr>
        <w:tc>
          <w:tcPr>
            <w:tcW w:w="3690" w:type="dxa"/>
            <w:vMerge/>
            <w:tcBorders>
              <w:bottom w:val="single" w:sz="4" w:space="0" w:color="000000"/>
            </w:tcBorders>
            <w:vAlign w:val="center"/>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535" w:type="dxa"/>
            <w:vMerge/>
            <w:tcBorders>
              <w:bottom w:val="single" w:sz="4" w:space="0" w:color="000000"/>
            </w:tcBorders>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60" w:type="dxa"/>
            <w:vMerge/>
            <w:tcBorders>
              <w:bottom w:val="single" w:sz="4" w:space="0" w:color="000000"/>
            </w:tcBorders>
            <w:vAlign w:val="center"/>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E535BF">
        <w:trPr>
          <w:cantSplit/>
          <w:trHeight w:val="1198"/>
        </w:trPr>
        <w:tc>
          <w:tcPr>
            <w:tcW w:w="3690" w:type="dxa"/>
            <w:vMerge/>
            <w:tcBorders>
              <w:bottom w:val="single" w:sz="4" w:space="0" w:color="000000"/>
            </w:tcBorders>
            <w:vAlign w:val="center"/>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5535" w:type="dxa"/>
            <w:vMerge/>
            <w:tcBorders>
              <w:bottom w:val="single" w:sz="4" w:space="0" w:color="000000"/>
            </w:tcBorders>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60" w:type="dxa"/>
            <w:vMerge/>
            <w:tcBorders>
              <w:bottom w:val="single" w:sz="4" w:space="0" w:color="000000"/>
            </w:tcBorders>
            <w:vAlign w:val="center"/>
          </w:tcPr>
          <w:p w:rsidR="00E535BF" w:rsidRDefault="00E535BF">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E535BF">
        <w:trPr>
          <w:cantSplit/>
          <w:trHeight w:val="339"/>
        </w:trPr>
        <w:tc>
          <w:tcPr>
            <w:tcW w:w="10185" w:type="dxa"/>
            <w:gridSpan w:val="3"/>
            <w:tcBorders>
              <w:bottom w:val="single" w:sz="4" w:space="0" w:color="000000"/>
            </w:tcBorders>
            <w:vAlign w:val="center"/>
          </w:tcPr>
          <w:p w:rsidR="00E535BF" w:rsidRDefault="004001EA">
            <w:pPr>
              <w:widowControl w:val="0"/>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2.Umumharbiy nizomlar</w:t>
            </w:r>
          </w:p>
        </w:tc>
      </w:tr>
      <w:tr w:rsidR="00E535BF">
        <w:trPr>
          <w:cantSplit/>
          <w:trHeight w:val="6427"/>
        </w:trPr>
        <w:tc>
          <w:tcPr>
            <w:tcW w:w="3690" w:type="dxa"/>
            <w:vAlign w:val="center"/>
          </w:tcPr>
          <w:p w:rsidR="00E535BF" w:rsidRDefault="004001EA">
            <w:pPr>
              <w:widowControl w:val="0"/>
              <w:spacing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2.1. Harbiy Nizomlar</w:t>
            </w:r>
          </w:p>
        </w:tc>
        <w:tc>
          <w:tcPr>
            <w:tcW w:w="5535" w:type="dxa"/>
          </w:tcPr>
          <w:p w:rsidR="00E535BF" w:rsidRDefault="004001EA">
            <w:pP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Oʻzbekiston Respublikasi Qurolli Kuchlarining Ichki xizmat nizomining mazmun mohiyatini </w:t>
            </w:r>
            <w:r>
              <w:rPr>
                <w:rFonts w:ascii="Times New Roman" w:eastAsia="Times New Roman" w:hAnsi="Times New Roman" w:cs="Times New Roman"/>
                <w:color w:val="000000"/>
                <w:sz w:val="28"/>
                <w:szCs w:val="28"/>
              </w:rPr>
              <w:t>bilish, farqlash hamda hayotiy vaziyatlarda qoʻllash, ularni tahlil qilish;</w:t>
            </w:r>
          </w:p>
          <w:p w:rsidR="00E535BF" w:rsidRDefault="004001EA">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Oʻzbekiston Respublikasi Qurolli kuchlarining Intizomiy nizomining mazmun-mohiyatini </w:t>
            </w:r>
            <w:r>
              <w:rPr>
                <w:rFonts w:ascii="Times New Roman" w:eastAsia="Times New Roman" w:hAnsi="Times New Roman" w:cs="Times New Roman"/>
                <w:color w:val="000000"/>
                <w:sz w:val="28"/>
                <w:szCs w:val="28"/>
              </w:rPr>
              <w:t>bilish, farqlash, taqqoslash hamda hayotiy vaziyatlarda qoʻllash, ularni tahlil qilish;</w:t>
            </w:r>
          </w:p>
          <w:p w:rsidR="00E535BF" w:rsidRDefault="004001EA">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Oʻzbekiston Respublikasi Qurolli Kuchlarining Garnizon va qorovullik xizmatlari nizomining mazmun mohiyatini </w:t>
            </w:r>
            <w:r>
              <w:rPr>
                <w:rFonts w:ascii="Times New Roman" w:eastAsia="Times New Roman" w:hAnsi="Times New Roman" w:cs="Times New Roman"/>
                <w:color w:val="000000"/>
                <w:sz w:val="28"/>
                <w:szCs w:val="28"/>
              </w:rPr>
              <w:t>bilish, farqlash, taqqoslash hamda hayotiy vaziyatlarda qoʻllash, ularni tahlil qilish;</w:t>
            </w:r>
          </w:p>
          <w:p w:rsidR="00E535BF" w:rsidRDefault="004001EA">
            <w:pP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Oʻzbekiston Respublikasi Qurolli Kuchlarining Saf nizomining </w:t>
            </w:r>
            <w:r>
              <w:rPr>
                <w:rFonts w:ascii="Times New Roman" w:eastAsia="Times New Roman" w:hAnsi="Times New Roman" w:cs="Times New Roman"/>
                <w:color w:val="000000"/>
                <w:sz w:val="28"/>
                <w:szCs w:val="28"/>
              </w:rPr>
              <w:t>mazmun-mohiyatini bilish, farqlash, taqqoslash hamda hayotiy vaziyatlarda qoʻllash, ularni tahlil qilish;</w:t>
            </w:r>
          </w:p>
        </w:tc>
        <w:tc>
          <w:tcPr>
            <w:tcW w:w="960" w:type="dxa"/>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ta</w:t>
            </w:r>
          </w:p>
        </w:tc>
      </w:tr>
      <w:tr w:rsidR="00E535BF">
        <w:trPr>
          <w:cantSplit/>
          <w:trHeight w:val="329"/>
        </w:trPr>
        <w:tc>
          <w:tcPr>
            <w:tcW w:w="10185" w:type="dxa"/>
            <w:gridSpan w:val="3"/>
            <w:vAlign w:val="center"/>
          </w:tcPr>
          <w:p w:rsidR="00E535BF" w:rsidRDefault="004001EA">
            <w:pPr>
              <w:widowControl w:val="0"/>
              <w:spacing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3. Otish tayyorgarligi </w:t>
            </w:r>
          </w:p>
        </w:tc>
      </w:tr>
      <w:tr w:rsidR="00E535BF">
        <w:trPr>
          <w:cantSplit/>
          <w:trHeight w:val="891"/>
        </w:trPr>
        <w:tc>
          <w:tcPr>
            <w:tcW w:w="3690" w:type="dxa"/>
            <w:tcBorders>
              <w:bottom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3.1. Oʻzbekiston Respublikasining “Qurol toʻgʻrisida”</w:t>
            </w:r>
            <w:r>
              <w:rPr>
                <w:rFonts w:ascii="Times New Roman" w:eastAsia="Times New Roman" w:hAnsi="Times New Roman" w:cs="Times New Roman"/>
                <w:b/>
                <w:bCs/>
                <w:color w:val="000000"/>
                <w:sz w:val="28"/>
                <w:szCs w:val="28"/>
              </w:rPr>
              <w:t xml:space="preserve">gi qonuni </w:t>
            </w:r>
          </w:p>
        </w:tc>
        <w:tc>
          <w:tcPr>
            <w:tcW w:w="5535" w:type="dxa"/>
            <w:tcBorders>
              <w:bottom w:val="single" w:sz="4" w:space="0" w:color="000000"/>
            </w:tcBorders>
          </w:tcPr>
          <w:p w:rsidR="00E535BF" w:rsidRDefault="004001EA">
            <w:pPr>
              <w:widowControl w:val="0"/>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Oʻzbekiston Respublikasining “Qurol toʻgʻrisida”</w:t>
            </w:r>
            <w:r>
              <w:rPr>
                <w:rFonts w:ascii="Times New Roman" w:eastAsia="Times New Roman" w:hAnsi="Times New Roman" w:cs="Times New Roman"/>
                <w:color w:val="000000"/>
                <w:sz w:val="28"/>
                <w:szCs w:val="28"/>
              </w:rPr>
              <w:t>gi qonuni mazmun-mohiyatini bilish, berilgan vaziyatda qoʻllash va taqqoslash, ularni tahlil qilish;</w:t>
            </w:r>
          </w:p>
        </w:tc>
        <w:tc>
          <w:tcPr>
            <w:tcW w:w="960" w:type="dxa"/>
            <w:tcBorders>
              <w:bottom w:val="single" w:sz="4" w:space="0" w:color="000000"/>
            </w:tcBorders>
            <w:vAlign w:val="center"/>
          </w:tcPr>
          <w:p w:rsidR="00E535BF" w:rsidRDefault="00E535BF">
            <w:pPr>
              <w:widowControl w:val="0"/>
              <w:ind w:left="1" w:hanging="3"/>
              <w:jc w:val="center"/>
              <w:rPr>
                <w:rFonts w:ascii="Times New Roman" w:eastAsia="Times New Roman" w:hAnsi="Times New Roman" w:cs="Times New Roman"/>
                <w:color w:val="000000"/>
                <w:sz w:val="28"/>
                <w:szCs w:val="28"/>
              </w:rPr>
            </w:pPr>
          </w:p>
        </w:tc>
      </w:tr>
      <w:tr w:rsidR="00E535BF">
        <w:trPr>
          <w:cantSplit/>
          <w:trHeight w:val="3703"/>
        </w:trPr>
        <w:tc>
          <w:tcPr>
            <w:tcW w:w="3690" w:type="dxa"/>
            <w:tcBorders>
              <w:top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3.2. Jangovar vositalar</w:t>
            </w:r>
            <w:r>
              <w:rPr>
                <w:rFonts w:ascii="Times New Roman" w:eastAsia="Times New Roman" w:hAnsi="Times New Roman" w:cs="Times New Roman"/>
                <w:b/>
                <w:bCs/>
                <w:sz w:val="28"/>
                <w:szCs w:val="28"/>
              </w:rPr>
              <w:t xml:space="preserve"> va</w:t>
            </w:r>
            <w:r>
              <w:rPr>
                <w:rFonts w:ascii="Times New Roman" w:eastAsia="Times New Roman" w:hAnsi="Times New Roman" w:cs="Times New Roman"/>
                <w:b/>
                <w:bCs/>
                <w:color w:val="000000"/>
                <w:sz w:val="28"/>
                <w:szCs w:val="28"/>
              </w:rPr>
              <w:t xml:space="preserve"> qurollar</w:t>
            </w:r>
          </w:p>
        </w:tc>
        <w:tc>
          <w:tcPr>
            <w:tcW w:w="5535" w:type="dxa"/>
            <w:tcBorders>
              <w:top w:val="single" w:sz="4" w:space="0" w:color="000000"/>
            </w:tcBorders>
          </w:tcPr>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jangovar vositalar</w:t>
            </w:r>
            <w:r>
              <w:rPr>
                <w:rFonts w:ascii="Times New Roman" w:eastAsia="Times New Roman" w:hAnsi="Times New Roman" w:cs="Times New Roman"/>
                <w:sz w:val="28"/>
                <w:szCs w:val="28"/>
              </w:rPr>
              <w:t xml:space="preserve">, oʻqotar va pnevmatik qurollarning vazifasi, tuzilishi, ishlash prinsipi va jangovar xususiyatlarini, otish hodisasi va uning davrlarini </w:t>
            </w:r>
            <w:r>
              <w:rPr>
                <w:rFonts w:ascii="Times New Roman" w:eastAsia="Times New Roman" w:hAnsi="Times New Roman" w:cs="Times New Roman"/>
                <w:color w:val="000000"/>
                <w:sz w:val="28"/>
                <w:szCs w:val="28"/>
              </w:rPr>
              <w:t>bilish, farqlash, berilgan vaziyatda qoʻllash va taqqoslash, ularni tahlil qilish;</w:t>
            </w:r>
          </w:p>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Kalashnikov avtomatining vazifasi, konstruktiv va ballistik koʻrsatkichlari, umumiy tuzilishi, </w:t>
            </w:r>
            <w:r>
              <w:rPr>
                <w:rFonts w:ascii="Times New Roman" w:eastAsia="Times New Roman" w:hAnsi="Times New Roman" w:cs="Times New Roman"/>
                <w:color w:val="000000"/>
                <w:sz w:val="28"/>
                <w:szCs w:val="28"/>
              </w:rPr>
              <w:t>farqlash, berilgan vaziyatda qoʻllash va taqqoslash, ularni tahlil qilish</w:t>
            </w:r>
          </w:p>
        </w:tc>
        <w:tc>
          <w:tcPr>
            <w:tcW w:w="960" w:type="dxa"/>
            <w:tcBorders>
              <w:top w:val="single" w:sz="4" w:space="0" w:color="000000"/>
            </w:tcBorders>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color w:val="000000"/>
                <w:sz w:val="28"/>
                <w:szCs w:val="28"/>
              </w:rPr>
              <w:t xml:space="preserve"> ta</w:t>
            </w:r>
          </w:p>
        </w:tc>
      </w:tr>
      <w:tr w:rsidR="00E535BF">
        <w:trPr>
          <w:cantSplit/>
          <w:trHeight w:val="414"/>
        </w:trPr>
        <w:tc>
          <w:tcPr>
            <w:tcW w:w="10185" w:type="dxa"/>
            <w:gridSpan w:val="3"/>
            <w:vAlign w:val="center"/>
          </w:tcPr>
          <w:p w:rsidR="00E535BF" w:rsidRDefault="004001EA">
            <w:pPr>
              <w:widowControl w:val="0"/>
              <w:ind w:left="-103"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4. Taktik tayyorgarlik </w:t>
            </w:r>
          </w:p>
        </w:tc>
      </w:tr>
      <w:tr w:rsidR="00E535BF">
        <w:trPr>
          <w:cantSplit/>
          <w:trHeight w:val="518"/>
        </w:trPr>
        <w:tc>
          <w:tcPr>
            <w:tcW w:w="3690" w:type="dxa"/>
            <w:tcBorders>
              <w:bottom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4.1. Zamonaviy umumqoʻshin jangi </w:t>
            </w:r>
          </w:p>
        </w:tc>
        <w:tc>
          <w:tcPr>
            <w:tcW w:w="5535" w:type="dxa"/>
            <w:tcBorders>
              <w:bottom w:val="single" w:sz="4" w:space="0" w:color="000000"/>
            </w:tcBorders>
          </w:tcPr>
          <w:p w:rsidR="00E535BF" w:rsidRDefault="004001EA">
            <w:pP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harbiy ish asoslarini, zamonaviy umumqoʻshin jangi, </w:t>
            </w:r>
            <w:r>
              <w:rPr>
                <w:rFonts w:ascii="Times New Roman" w:eastAsia="Times New Roman" w:hAnsi="Times New Roman" w:cs="Times New Roman"/>
                <w:color w:val="000000"/>
                <w:sz w:val="28"/>
                <w:szCs w:val="28"/>
              </w:rPr>
              <w:t>askarning jangdagi majburiyatlari va harakatlarini bilish, taqqoslash, tahlil qilish;</w:t>
            </w:r>
          </w:p>
        </w:tc>
        <w:tc>
          <w:tcPr>
            <w:tcW w:w="960" w:type="dxa"/>
            <w:tcBorders>
              <w:bottom w:val="single" w:sz="4" w:space="0" w:color="000000"/>
            </w:tcBorders>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E535BF">
        <w:trPr>
          <w:cantSplit/>
          <w:trHeight w:val="518"/>
        </w:trPr>
        <w:tc>
          <w:tcPr>
            <w:tcW w:w="3690" w:type="dxa"/>
            <w:tcBorders>
              <w:bottom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4.2. Harbiy topologiya</w:t>
            </w:r>
          </w:p>
        </w:tc>
        <w:tc>
          <w:tcPr>
            <w:tcW w:w="5535" w:type="dxa"/>
            <w:tcBorders>
              <w:bottom w:val="single" w:sz="4" w:space="0" w:color="000000"/>
            </w:tcBorders>
          </w:tcPr>
          <w:p w:rsidR="00E535BF" w:rsidRDefault="004001EA">
            <w:pP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gorizont tomonlarini, </w:t>
            </w:r>
            <w:r>
              <w:rPr>
                <w:rFonts w:ascii="Times New Roman" w:eastAsia="Times New Roman" w:hAnsi="Times New Roman" w:cs="Times New Roman"/>
                <w:sz w:val="28"/>
                <w:szCs w:val="28"/>
              </w:rPr>
              <w:t>masofani, burchakni</w:t>
            </w:r>
            <w:r>
              <w:rPr>
                <w:rFonts w:ascii="Times New Roman" w:eastAsia="Times New Roman" w:hAnsi="Times New Roman" w:cs="Times New Roman"/>
                <w:color w:val="000000"/>
                <w:sz w:val="28"/>
                <w:szCs w:val="28"/>
              </w:rPr>
              <w:t xml:space="preserve"> aniqlash, xaritani tushunish, qoʻllash, tahlil qilish;</w:t>
            </w:r>
          </w:p>
          <w:p w:rsidR="00E535BF" w:rsidRDefault="004001EA">
            <w:pP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azimut boʻyicha harakatlanishni bilish, notanish vaziyatda qoʻllash, xaritasiz oriyentir olish, berilgan vaziyatni tahlil qilish;</w:t>
            </w:r>
          </w:p>
          <w:p w:rsidR="00E535BF" w:rsidRDefault="004001EA">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topografik xaritani tahlil qilish, joy relyefini baholash;</w:t>
            </w:r>
          </w:p>
        </w:tc>
        <w:tc>
          <w:tcPr>
            <w:tcW w:w="960" w:type="dxa"/>
            <w:tcBorders>
              <w:bottom w:val="single" w:sz="4" w:space="0" w:color="000000"/>
            </w:tcBorders>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E535BF">
        <w:trPr>
          <w:cantSplit/>
          <w:trHeight w:val="1325"/>
        </w:trPr>
        <w:tc>
          <w:tcPr>
            <w:tcW w:w="3690" w:type="dxa"/>
            <w:tcBorders>
              <w:top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4.3. Jangovar guruh xususiyatlari. Jangovar texnika va vositalarning taktik-texnik tavsifi</w:t>
            </w:r>
          </w:p>
        </w:tc>
        <w:tc>
          <w:tcPr>
            <w:tcW w:w="5535" w:type="dxa"/>
            <w:tcBorders>
              <w:top w:val="single" w:sz="4" w:space="0" w:color="000000"/>
            </w:tcBorders>
          </w:tcPr>
          <w:p w:rsidR="00E535BF" w:rsidRDefault="004001EA">
            <w:pPr>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jangovar guruh tarkibi, qurollanishi va jangovar imkoniyatlarini </w:t>
            </w:r>
            <w:r>
              <w:rPr>
                <w:rFonts w:ascii="Times New Roman" w:eastAsia="Times New Roman" w:hAnsi="Times New Roman" w:cs="Times New Roman"/>
                <w:color w:val="000000"/>
                <w:sz w:val="28"/>
                <w:szCs w:val="28"/>
              </w:rPr>
              <w:t>bilish, xususiyatlarni farqlash, berilgan vaziyatda qoʻllash va taqqoslash, ularni tahlil qilish;</w:t>
            </w:r>
          </w:p>
          <w:p w:rsidR="00E535BF" w:rsidRDefault="004001EA">
            <w:pPr>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jangovar texnika va vositalarning taktik-texnik tavsifi, imkoniyatlarini bilish, xususiyatlarni farqlash, berilgan vaziyatda qoʻllash va taqqoslash, tahlil qilish;</w:t>
            </w:r>
          </w:p>
        </w:tc>
        <w:tc>
          <w:tcPr>
            <w:tcW w:w="960" w:type="dxa"/>
            <w:tcBorders>
              <w:top w:val="single" w:sz="4" w:space="0" w:color="000000"/>
            </w:tcBorders>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E535BF">
        <w:trPr>
          <w:cantSplit/>
          <w:trHeight w:val="256"/>
        </w:trPr>
        <w:tc>
          <w:tcPr>
            <w:tcW w:w="10185" w:type="dxa"/>
            <w:gridSpan w:val="3"/>
            <w:vAlign w:val="center"/>
          </w:tcPr>
          <w:p w:rsidR="00E535BF" w:rsidRDefault="004001EA">
            <w:pPr>
              <w:widowControl w:val="0"/>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5. Fuqaro muhofazasi </w:t>
            </w:r>
          </w:p>
        </w:tc>
      </w:tr>
      <w:tr w:rsidR="00E535BF">
        <w:trPr>
          <w:cantSplit/>
          <w:trHeight w:val="522"/>
        </w:trPr>
        <w:tc>
          <w:tcPr>
            <w:tcW w:w="3690" w:type="dxa"/>
            <w:tcBorders>
              <w:bottom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5.1. Favqulodda vaziyatlar</w:t>
            </w:r>
          </w:p>
        </w:tc>
        <w:tc>
          <w:tcPr>
            <w:tcW w:w="5535" w:type="dxa"/>
            <w:tcBorders>
              <w:bottom w:val="single" w:sz="4" w:space="0" w:color="000000"/>
            </w:tcBorders>
          </w:tcPr>
          <w:p w:rsidR="00E535BF" w:rsidRDefault="004001EA">
            <w:pPr>
              <w:widowControl w:val="0"/>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favqulodda vaziyatlar va ularning turlarini,  turli favqulodda vaziyatlarda xabar berish va harakatlanish tartibi </w:t>
            </w:r>
            <w:r>
              <w:rPr>
                <w:rFonts w:ascii="Times New Roman" w:eastAsia="Times New Roman" w:hAnsi="Times New Roman" w:cs="Times New Roman"/>
                <w:color w:val="000000"/>
                <w:sz w:val="28"/>
                <w:szCs w:val="28"/>
              </w:rPr>
              <w:t>bilish, farqlash, taqqoslash, berilgan vaziyatni tahlil qilish va xulosalash;</w:t>
            </w:r>
          </w:p>
          <w:p w:rsidR="00E535BF" w:rsidRDefault="004001EA">
            <w:pPr>
              <w:widowControl w:val="0"/>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favqulodda vaziyatlarda foydalaniladigan vositalarni bilish, farqlash, qoʻllash, taqqoslash, ularni tahlil qilish va xulosalash;</w:t>
            </w:r>
          </w:p>
        </w:tc>
        <w:tc>
          <w:tcPr>
            <w:tcW w:w="960" w:type="dxa"/>
            <w:tcBorders>
              <w:bottom w:val="single" w:sz="4" w:space="0" w:color="000000"/>
            </w:tcBorders>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ta</w:t>
            </w:r>
          </w:p>
        </w:tc>
      </w:tr>
      <w:tr w:rsidR="00E535BF">
        <w:trPr>
          <w:cantSplit/>
          <w:trHeight w:val="2310"/>
        </w:trPr>
        <w:tc>
          <w:tcPr>
            <w:tcW w:w="3690" w:type="dxa"/>
            <w:tcBorders>
              <w:top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5.2. Ommaviy qirgʻin qurollari</w:t>
            </w:r>
          </w:p>
        </w:tc>
        <w:tc>
          <w:tcPr>
            <w:tcW w:w="5535" w:type="dxa"/>
            <w:tcBorders>
              <w:top w:val="single" w:sz="4" w:space="0" w:color="000000"/>
            </w:tcBorders>
          </w:tcPr>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yadroviy qurol turlarini va ulardan himoyalanish usullarini </w:t>
            </w:r>
            <w:r>
              <w:rPr>
                <w:rFonts w:ascii="Times New Roman" w:eastAsia="Times New Roman" w:hAnsi="Times New Roman" w:cs="Times New Roman"/>
                <w:color w:val="000000"/>
                <w:sz w:val="28"/>
                <w:szCs w:val="28"/>
              </w:rPr>
              <w:t>bilish, farqlash, taqqoslash, ularni tahlil qilish va xulosalash;</w:t>
            </w:r>
          </w:p>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kimyoviy va bakteriologik (biologik) qurol </w:t>
            </w:r>
            <w:r>
              <w:rPr>
                <w:rFonts w:ascii="Times New Roman" w:eastAsia="Times New Roman" w:hAnsi="Times New Roman" w:cs="Times New Roman"/>
                <w:sz w:val="28"/>
                <w:szCs w:val="28"/>
              </w:rPr>
              <w:t xml:space="preserve">turlarini va ulardan foydalanish usullarini </w:t>
            </w:r>
            <w:r>
              <w:rPr>
                <w:rFonts w:ascii="Times New Roman" w:eastAsia="Times New Roman" w:hAnsi="Times New Roman" w:cs="Times New Roman"/>
                <w:color w:val="000000"/>
                <w:sz w:val="28"/>
                <w:szCs w:val="28"/>
              </w:rPr>
              <w:t>bilish, farqlash, taqqoslash, ularni tahlil qilish</w:t>
            </w:r>
            <w:r>
              <w:rPr>
                <w:rFonts w:ascii="Times New Roman" w:eastAsia="Times New Roman" w:hAnsi="Times New Roman" w:cs="Times New Roman"/>
                <w:sz w:val="28"/>
                <w:szCs w:val="28"/>
              </w:rPr>
              <w:t>;</w:t>
            </w:r>
          </w:p>
        </w:tc>
        <w:tc>
          <w:tcPr>
            <w:tcW w:w="960" w:type="dxa"/>
            <w:tcBorders>
              <w:top w:val="single" w:sz="4" w:space="0" w:color="000000"/>
            </w:tcBorders>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ta</w:t>
            </w:r>
          </w:p>
        </w:tc>
      </w:tr>
      <w:tr w:rsidR="00E535BF">
        <w:trPr>
          <w:cantSplit/>
          <w:trHeight w:val="304"/>
        </w:trPr>
        <w:tc>
          <w:tcPr>
            <w:tcW w:w="10185" w:type="dxa"/>
            <w:gridSpan w:val="3"/>
            <w:vAlign w:val="center"/>
          </w:tcPr>
          <w:p w:rsidR="00E535BF" w:rsidRDefault="004001EA">
            <w:pPr>
              <w:widowControl w:val="0"/>
              <w:ind w:left="1" w:hanging="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6. Tibbiy bilim asoslari </w:t>
            </w:r>
          </w:p>
        </w:tc>
      </w:tr>
      <w:tr w:rsidR="00E535BF">
        <w:trPr>
          <w:cantSplit/>
          <w:trHeight w:val="318"/>
        </w:trPr>
        <w:tc>
          <w:tcPr>
            <w:tcW w:w="3690" w:type="dxa"/>
            <w:tcBorders>
              <w:bottom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6.1. Birinchi yordam koʻrsatish </w:t>
            </w:r>
          </w:p>
        </w:tc>
        <w:tc>
          <w:tcPr>
            <w:tcW w:w="5535" w:type="dxa"/>
            <w:tcBorders>
              <w:bottom w:val="single" w:sz="4" w:space="0" w:color="000000"/>
            </w:tcBorders>
          </w:tcPr>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turli vaziyatlarda jarohatlanganlarga birinchi tibbiy yordam koʻrsatish tartibini </w:t>
            </w:r>
            <w:r>
              <w:rPr>
                <w:rFonts w:ascii="Times New Roman" w:eastAsia="Times New Roman" w:hAnsi="Times New Roman" w:cs="Times New Roman"/>
                <w:color w:val="000000"/>
                <w:sz w:val="28"/>
                <w:szCs w:val="28"/>
              </w:rPr>
              <w:t>bilish, qoʻllash, berilgan holatni tahlil qilish va xulosalash</w:t>
            </w:r>
          </w:p>
        </w:tc>
        <w:tc>
          <w:tcPr>
            <w:tcW w:w="960" w:type="dxa"/>
            <w:tcBorders>
              <w:bottom w:val="single" w:sz="4" w:space="0" w:color="000000"/>
            </w:tcBorders>
            <w:vAlign w:val="center"/>
          </w:tcPr>
          <w:p w:rsidR="00E535BF" w:rsidRDefault="004001EA">
            <w:pPr>
              <w:widowControl w:val="0"/>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ta</w:t>
            </w:r>
          </w:p>
        </w:tc>
      </w:tr>
      <w:tr w:rsidR="00E535BF">
        <w:trPr>
          <w:cantSplit/>
          <w:trHeight w:val="5574"/>
        </w:trPr>
        <w:tc>
          <w:tcPr>
            <w:tcW w:w="3690" w:type="dxa"/>
            <w:tcBorders>
              <w:top w:val="single" w:sz="4" w:space="0" w:color="000000"/>
              <w:bottom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6.2. Jarohat turlari,</w:t>
            </w:r>
          </w:p>
          <w:p w:rsidR="00E535BF" w:rsidRDefault="004001EA">
            <w:pPr>
              <w:widowControl w:val="0"/>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yuqumli kasalliklar</w:t>
            </w:r>
          </w:p>
        </w:tc>
        <w:tc>
          <w:tcPr>
            <w:tcW w:w="5535" w:type="dxa"/>
            <w:tcBorders>
              <w:top w:val="single" w:sz="4" w:space="0" w:color="000000"/>
              <w:bottom w:val="single" w:sz="4" w:space="0" w:color="000000"/>
            </w:tcBorders>
          </w:tcPr>
          <w:p w:rsidR="00E535BF" w:rsidRDefault="004001EA">
            <w:pPr>
              <w:widowControl w:val="0"/>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jarohatlarning turlarini</w:t>
            </w:r>
            <w:r>
              <w:rPr>
                <w:rFonts w:ascii="Times New Roman" w:eastAsia="Times New Roman" w:hAnsi="Times New Roman" w:cs="Times New Roman"/>
                <w:color w:val="000000"/>
                <w:sz w:val="28"/>
                <w:szCs w:val="28"/>
              </w:rPr>
              <w:t xml:space="preserve"> bilish, ularni darajasiga koʻra farqlash, taqqoslash, berilgan vaziyatda ularni tahlil qilish va xulosalash;</w:t>
            </w:r>
          </w:p>
          <w:p w:rsidR="00E535BF" w:rsidRDefault="004001EA">
            <w:pPr>
              <w:widowControl w:val="0"/>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yuqumli kasalliklarni</w:t>
            </w:r>
            <w:r>
              <w:rPr>
                <w:rFonts w:ascii="Times New Roman" w:eastAsia="Times New Roman" w:hAnsi="Times New Roman" w:cs="Times New Roman"/>
                <w:color w:val="000000"/>
                <w:sz w:val="28"/>
                <w:szCs w:val="28"/>
              </w:rPr>
              <w:t xml:space="preserve"> va ularni kelib chiqish sabablarini hamda oldini olish choralarini bilish, ularni darajasiga koʻra farqlash, taqqoslash, berilgan vaziyatda ularni tahlil qilish va xulosalash;</w:t>
            </w:r>
          </w:p>
          <w:p w:rsidR="00E535BF" w:rsidRDefault="004001EA">
            <w:pPr>
              <w:widowControl w:val="0"/>
              <w:spacing w:line="276"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qon ketishi turlarini, uning belgilari</w:t>
            </w:r>
            <w:r>
              <w:rPr>
                <w:rFonts w:ascii="Times New Roman" w:eastAsia="Times New Roman" w:hAnsi="Times New Roman" w:cs="Times New Roman"/>
                <w:color w:val="000000"/>
                <w:sz w:val="28"/>
                <w:szCs w:val="28"/>
              </w:rPr>
              <w:t>ni, birinchi tibbiy yordam koʻrsatishni bilish, ularni darajasiga koʻra farqlash, taqqoslash, berilgan vaziyatda ularni tahlil qilish;</w:t>
            </w:r>
          </w:p>
          <w:p w:rsidR="00E535BF" w:rsidRDefault="004001EA">
            <w:pPr>
              <w:widowControl w:val="0"/>
              <w:spacing w:line="276"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suyak sinishi toʻgʻrisida tushuncha va uning belgilari</w:t>
            </w:r>
            <w:r>
              <w:rPr>
                <w:rFonts w:ascii="Times New Roman" w:eastAsia="Times New Roman" w:hAnsi="Times New Roman" w:cs="Times New Roman"/>
                <w:color w:val="000000"/>
                <w:sz w:val="28"/>
                <w:szCs w:val="28"/>
              </w:rPr>
              <w:t>ni, davolash choralarini bilish, sinish belgilarini farqlash, taqqoslash, ularni tahlil qilish va xulosalash;</w:t>
            </w:r>
          </w:p>
        </w:tc>
        <w:tc>
          <w:tcPr>
            <w:tcW w:w="960" w:type="dxa"/>
            <w:tcBorders>
              <w:top w:val="single" w:sz="4" w:space="0" w:color="000000"/>
              <w:bottom w:val="single" w:sz="4" w:space="0" w:color="000000"/>
            </w:tcBorders>
            <w:vAlign w:val="center"/>
          </w:tcPr>
          <w:p w:rsidR="00E535BF" w:rsidRDefault="004001EA">
            <w:pPr>
              <w:widowControl w:val="0"/>
              <w:ind w:lef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ta</w:t>
            </w:r>
          </w:p>
        </w:tc>
      </w:tr>
      <w:tr w:rsidR="00E535BF">
        <w:trPr>
          <w:cantSplit/>
          <w:trHeight w:val="839"/>
        </w:trPr>
        <w:tc>
          <w:tcPr>
            <w:tcW w:w="9225" w:type="dxa"/>
            <w:gridSpan w:val="2"/>
            <w:tcBorders>
              <w:top w:val="single" w:sz="4" w:space="0" w:color="000000"/>
            </w:tcBorders>
            <w:vAlign w:val="center"/>
          </w:tcPr>
          <w:p w:rsidR="00E535BF" w:rsidRDefault="004001EA">
            <w:pPr>
              <w:widowControl w:val="0"/>
              <w:spacing w:line="276" w:lineRule="auto"/>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Jami </w:t>
            </w:r>
          </w:p>
        </w:tc>
        <w:tc>
          <w:tcPr>
            <w:tcW w:w="960" w:type="dxa"/>
            <w:tcBorders>
              <w:top w:val="single" w:sz="4" w:space="0" w:color="000000"/>
            </w:tcBorders>
            <w:vAlign w:val="center"/>
          </w:tcPr>
          <w:p w:rsidR="00E535BF" w:rsidRDefault="004001EA">
            <w:pPr>
              <w:widowControl w:val="0"/>
              <w:ind w:left="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 ta</w:t>
            </w:r>
          </w:p>
        </w:tc>
      </w:tr>
    </w:tbl>
    <w:p w:rsidR="00E535BF" w:rsidRDefault="00E535BF">
      <w:pPr>
        <w:spacing w:before="240" w:after="0" w:line="276" w:lineRule="auto"/>
        <w:rPr>
          <w:rFonts w:ascii="Times New Roman" w:eastAsia="Times New Roman" w:hAnsi="Times New Roman" w:cs="Times New Roman"/>
          <w:b/>
          <w:bCs/>
          <w:sz w:val="28"/>
          <w:szCs w:val="28"/>
        </w:rPr>
      </w:pPr>
    </w:p>
    <w:p w:rsidR="00E535BF" w:rsidRDefault="004001EA">
      <w:pPr>
        <w:spacing w:before="240" w:after="0" w:line="276"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Pedagogik mahoratdan tuziladigan test topshiriqlarining mazmun sohasi </w:t>
      </w:r>
      <w:proofErr w:type="gramStart"/>
      <w:r>
        <w:rPr>
          <w:rFonts w:ascii="Times New Roman" w:eastAsia="Times New Roman" w:hAnsi="Times New Roman" w:cs="Times New Roman"/>
          <w:b/>
          <w:bCs/>
          <w:sz w:val="28"/>
          <w:szCs w:val="28"/>
        </w:rPr>
        <w:t>va</w:t>
      </w:r>
      <w:proofErr w:type="gramEnd"/>
      <w:r>
        <w:rPr>
          <w:rFonts w:ascii="Times New Roman" w:eastAsia="Times New Roman" w:hAnsi="Times New Roman" w:cs="Times New Roman"/>
          <w:b/>
          <w:bCs/>
          <w:sz w:val="28"/>
          <w:szCs w:val="28"/>
        </w:rPr>
        <w:t xml:space="preserve"> baholanadigan bilim va koʻnikmalari boʻyicha taqsimoti </w:t>
      </w:r>
    </w:p>
    <w:p w:rsidR="00E535BF" w:rsidRDefault="004001EA">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e"/>
        <w:tblW w:w="98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260"/>
        <w:gridCol w:w="105"/>
        <w:gridCol w:w="720"/>
        <w:gridCol w:w="105"/>
      </w:tblGrid>
      <w:tr w:rsidR="00E535BF">
        <w:trPr>
          <w:cantSplit/>
          <w:trHeight w:val="413"/>
        </w:trPr>
        <w:tc>
          <w:tcPr>
            <w:tcW w:w="9030" w:type="dxa"/>
            <w:gridSpan w:val="3"/>
            <w:tcBorders>
              <w:top w:val="single" w:sz="4" w:space="0" w:color="000000"/>
              <w:left w:val="single" w:sz="4" w:space="0" w:color="000000"/>
              <w:bottom w:val="single" w:sz="4" w:space="0" w:color="000000"/>
              <w:right w:val="single" w:sz="4" w:space="0" w:color="000000"/>
            </w:tcBorders>
            <w:vAlign w:val="center"/>
          </w:tcPr>
          <w:p w:rsidR="00E535BF" w:rsidRDefault="004001EA">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825" w:type="dxa"/>
            <w:gridSpan w:val="2"/>
            <w:tcBorders>
              <w:top w:val="single" w:sz="4" w:space="0" w:color="000000"/>
              <w:left w:val="single" w:sz="4" w:space="0" w:color="000000"/>
              <w:bottom w:val="single" w:sz="4" w:space="0" w:color="000000"/>
              <w:right w:val="single" w:sz="4" w:space="0" w:color="000000"/>
            </w:tcBorders>
            <w:vAlign w:val="center"/>
          </w:tcPr>
          <w:p w:rsidR="00E535BF" w:rsidRDefault="004001EA">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E535BF">
        <w:trPr>
          <w:gridAfter w:val="1"/>
          <w:wAfter w:w="105" w:type="dxa"/>
          <w:cantSplit/>
          <w:trHeight w:val="413"/>
        </w:trPr>
        <w:tc>
          <w:tcPr>
            <w:tcW w:w="1665" w:type="dxa"/>
            <w:tcBorders>
              <w:top w:val="single" w:sz="4" w:space="0" w:color="000000"/>
              <w:left w:val="single" w:sz="4" w:space="0" w:color="000000"/>
              <w:bottom w:val="single" w:sz="4" w:space="0" w:color="000000"/>
              <w:right w:val="single" w:sz="4" w:space="0" w:color="000000"/>
            </w:tcBorders>
            <w:vAlign w:val="center"/>
          </w:tcPr>
          <w:p w:rsidR="00E535BF" w:rsidRDefault="004001EA">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260" w:type="dxa"/>
            <w:tcBorders>
              <w:top w:val="single" w:sz="4" w:space="0" w:color="000000"/>
              <w:left w:val="single" w:sz="4" w:space="0" w:color="000000"/>
              <w:bottom w:val="single" w:sz="4" w:space="0" w:color="000000"/>
              <w:right w:val="single" w:sz="4" w:space="0" w:color="000000"/>
            </w:tcBorders>
            <w:vAlign w:val="center"/>
          </w:tcPr>
          <w:p w:rsidR="006E443F" w:rsidRDefault="006E443F" w:rsidP="006E4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pedagogika, didaktika, tarbiya va yosh psixologiyasin</w:t>
            </w:r>
            <w:r w:rsidR="00C40B6A">
              <w:rPr>
                <w:rFonts w:ascii="Times New Roman" w:eastAsia="Times New Roman" w:hAnsi="Times New Roman" w:cs="Times New Roman"/>
                <w:color w:val="000000"/>
                <w:sz w:val="28"/>
                <w:szCs w:val="28"/>
              </w:rPr>
              <w:t>ing asosiy tushunchalari va kate</w:t>
            </w:r>
            <w:r>
              <w:rPr>
                <w:rFonts w:ascii="Times New Roman" w:eastAsia="Times New Roman" w:hAnsi="Times New Roman" w:cs="Times New Roman"/>
                <w:color w:val="000000"/>
                <w:sz w:val="28"/>
                <w:szCs w:val="28"/>
              </w:rPr>
              <w:t xml:space="preserve">goriyalari, pedagogik yondashuvlar va ta’lim paradigmalari (an’anaviy - konservativ, ratsionalistik (bixevioristik),  fenomenologik (gumanistik),  texnokratik va ezoterik)ini bilish va berilgan vaziyatga mosini tanlay olish; </w:t>
            </w:r>
          </w:p>
          <w:p w:rsidR="006E443F" w:rsidRDefault="006E443F" w:rsidP="006E4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6E443F" w:rsidRDefault="006E443F" w:rsidP="006E4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6E443F" w:rsidRDefault="006E443F" w:rsidP="006E4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6E443F" w:rsidRDefault="006E443F" w:rsidP="006E4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6E443F" w:rsidRDefault="006E443F" w:rsidP="006E4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6E443F" w:rsidRDefault="006E443F" w:rsidP="006E4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E535BF" w:rsidRDefault="006E443F" w:rsidP="006E443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w:t>
            </w:r>
          </w:p>
        </w:tc>
        <w:tc>
          <w:tcPr>
            <w:tcW w:w="825" w:type="dxa"/>
            <w:gridSpan w:val="2"/>
            <w:tcBorders>
              <w:top w:val="single" w:sz="4" w:space="0" w:color="000000"/>
              <w:left w:val="single" w:sz="4" w:space="0" w:color="000000"/>
              <w:bottom w:val="single" w:sz="4" w:space="0" w:color="000000"/>
              <w:right w:val="single" w:sz="4" w:space="0" w:color="000000"/>
            </w:tcBorders>
            <w:vAlign w:val="center"/>
          </w:tcPr>
          <w:p w:rsidR="00E535BF" w:rsidRDefault="004001EA">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E535BF">
        <w:trPr>
          <w:gridAfter w:val="1"/>
          <w:wAfter w:w="105" w:type="dxa"/>
          <w:cantSplit/>
          <w:trHeight w:val="413"/>
        </w:trPr>
        <w:tc>
          <w:tcPr>
            <w:tcW w:w="1665" w:type="dxa"/>
            <w:tcBorders>
              <w:top w:val="single" w:sz="4" w:space="0" w:color="000000"/>
              <w:left w:val="single" w:sz="4" w:space="0" w:color="000000"/>
              <w:bottom w:val="single" w:sz="4" w:space="0" w:color="000000"/>
              <w:right w:val="single" w:sz="4" w:space="0" w:color="000000"/>
            </w:tcBorders>
            <w:vAlign w:val="center"/>
          </w:tcPr>
          <w:p w:rsidR="00E535BF" w:rsidRDefault="004001EA">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1.2. CHQBT fanini oʻqitish metodikasi</w:t>
            </w:r>
          </w:p>
        </w:tc>
        <w:tc>
          <w:tcPr>
            <w:tcW w:w="7260" w:type="dxa"/>
            <w:tcBorders>
              <w:top w:val="single" w:sz="4" w:space="0" w:color="000000"/>
              <w:left w:val="single" w:sz="4" w:space="0" w:color="000000"/>
              <w:bottom w:val="single" w:sz="4" w:space="0" w:color="000000"/>
              <w:right w:val="single" w:sz="4" w:space="0" w:color="000000"/>
            </w:tcBorders>
            <w:vAlign w:val="center"/>
          </w:tcPr>
          <w:p w:rsidR="00E535BF" w:rsidRDefault="004001EA">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fan mazmun sohasini oʻqitish yondashuvlari, metodikasi va xususiy texnologiyalarini bilish;</w:t>
            </w:r>
          </w:p>
          <w:p w:rsidR="00E535BF" w:rsidRDefault="004001EA">
            <w:pPr>
              <w:spacing w:before="240"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fan sohasini oʻqitish usullari va metodlarini farqlash va berilgan vaziyatga mosini tanlash;</w:t>
            </w:r>
          </w:p>
          <w:p w:rsidR="00E535BF" w:rsidRDefault="004001E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fan sohasini oʻqitish boʻyicha berilgan taʼlimiy vaziyatga oid qabul qilingan qarorlarga baho berish.</w:t>
            </w:r>
          </w:p>
        </w:tc>
        <w:tc>
          <w:tcPr>
            <w:tcW w:w="825" w:type="dxa"/>
            <w:gridSpan w:val="2"/>
            <w:tcBorders>
              <w:top w:val="single" w:sz="4" w:space="0" w:color="000000"/>
              <w:left w:val="single" w:sz="4" w:space="0" w:color="000000"/>
              <w:bottom w:val="single" w:sz="4" w:space="0" w:color="000000"/>
              <w:right w:val="single" w:sz="4" w:space="0" w:color="000000"/>
            </w:tcBorders>
            <w:vAlign w:val="center"/>
          </w:tcPr>
          <w:p w:rsidR="00E535BF" w:rsidRDefault="004001EA">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E535BF" w:rsidRDefault="00E535BF">
      <w:pPr>
        <w:spacing w:after="0" w:line="276" w:lineRule="auto"/>
        <w:jc w:val="center"/>
        <w:rPr>
          <w:rFonts w:ascii="Times New Roman" w:eastAsia="Times New Roman" w:hAnsi="Times New Roman" w:cs="Times New Roman"/>
          <w:b/>
          <w:bCs/>
          <w:sz w:val="28"/>
          <w:szCs w:val="28"/>
        </w:rPr>
      </w:pPr>
    </w:p>
    <w:p w:rsidR="00E535BF" w:rsidRDefault="004001E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E535BF" w:rsidRDefault="004001EA">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f"/>
        <w:tblW w:w="98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307"/>
        <w:gridCol w:w="5271"/>
        <w:gridCol w:w="1488"/>
      </w:tblGrid>
      <w:tr w:rsidR="00E535BF">
        <w:trPr>
          <w:trHeight w:val="285"/>
        </w:trPr>
        <w:tc>
          <w:tcPr>
            <w:tcW w:w="812" w:type="dxa"/>
            <w:vAlign w:val="center"/>
          </w:tcPr>
          <w:p w:rsidR="00E535BF" w:rsidRDefault="004001EA">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307" w:type="dxa"/>
            <w:vAlign w:val="center"/>
          </w:tcPr>
          <w:p w:rsidR="00E535BF" w:rsidRDefault="004001EA">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E535BF" w:rsidRDefault="004001E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488" w:type="dxa"/>
            <w:vAlign w:val="center"/>
          </w:tcPr>
          <w:p w:rsidR="00E535BF" w:rsidRDefault="004001EA">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E535BF">
        <w:trPr>
          <w:trHeight w:val="873"/>
        </w:trPr>
        <w:tc>
          <w:tcPr>
            <w:tcW w:w="812" w:type="dxa"/>
            <w:vAlign w:val="center"/>
          </w:tcPr>
          <w:p w:rsidR="00E535BF" w:rsidRDefault="004001E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307" w:type="dxa"/>
            <w:vAlign w:val="center"/>
          </w:tcPr>
          <w:p w:rsidR="00E535BF" w:rsidRDefault="004001EA">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E535BF" w:rsidRDefault="004001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488" w:type="dxa"/>
            <w:vAlign w:val="center"/>
          </w:tcPr>
          <w:p w:rsidR="00E535BF" w:rsidRDefault="004001EA">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E535BF">
        <w:trPr>
          <w:trHeight w:val="873"/>
        </w:trPr>
        <w:tc>
          <w:tcPr>
            <w:tcW w:w="812" w:type="dxa"/>
            <w:vAlign w:val="center"/>
          </w:tcPr>
          <w:p w:rsidR="00E535BF" w:rsidRDefault="004001E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307" w:type="dxa"/>
            <w:vAlign w:val="center"/>
          </w:tcPr>
          <w:p w:rsidR="00E535BF" w:rsidRDefault="004001EA">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E535BF" w:rsidRDefault="004001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488" w:type="dxa"/>
            <w:vAlign w:val="center"/>
          </w:tcPr>
          <w:p w:rsidR="00E535BF" w:rsidRDefault="004001EA">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E535BF">
        <w:trPr>
          <w:trHeight w:val="1158"/>
        </w:trPr>
        <w:tc>
          <w:tcPr>
            <w:tcW w:w="812" w:type="dxa"/>
            <w:vAlign w:val="center"/>
          </w:tcPr>
          <w:p w:rsidR="00E535BF" w:rsidRDefault="004001E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307" w:type="dxa"/>
            <w:vAlign w:val="center"/>
          </w:tcPr>
          <w:p w:rsidR="00E535BF" w:rsidRDefault="004001EA">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E535BF" w:rsidRDefault="004001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488" w:type="dxa"/>
            <w:vAlign w:val="center"/>
          </w:tcPr>
          <w:p w:rsidR="00E535BF" w:rsidRDefault="004001EA">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E535BF" w:rsidRDefault="00E535BF">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E535BF" w:rsidRDefault="004001EA">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E535BF" w:rsidRDefault="004001EA">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E535BF" w:rsidRDefault="00E535BF">
      <w:pPr>
        <w:widowControl w:val="0"/>
        <w:spacing w:after="0" w:line="276" w:lineRule="auto"/>
        <w:ind w:firstLine="567"/>
        <w:jc w:val="center"/>
        <w:rPr>
          <w:rFonts w:ascii="Times New Roman" w:eastAsia="Times New Roman" w:hAnsi="Times New Roman" w:cs="Times New Roman"/>
          <w:color w:val="1F3864"/>
          <w:sz w:val="28"/>
          <w:szCs w:val="28"/>
        </w:rPr>
      </w:pPr>
    </w:p>
    <w:p w:rsidR="00E535BF" w:rsidRDefault="00E535B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E535BF" w:rsidRDefault="00E535B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E535BF" w:rsidRDefault="00E535B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E535BF" w:rsidRDefault="00E535BF">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E535BF" w:rsidRDefault="00E535BF">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E535BF" w:rsidRDefault="004001EA">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VII. Chaqiruvga qadar boshlangʻich tayyorgarlik fanidan tavsiya etiladigan asosiy adabiyotlar</w:t>
      </w:r>
    </w:p>
    <w:p w:rsidR="00E535BF" w:rsidRDefault="00E535BF">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rPr>
      </w:pP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U.Mamadaliyev va </w:t>
      </w:r>
      <w:proofErr w:type="gramStart"/>
      <w:r>
        <w:rPr>
          <w:rFonts w:ascii="Times New Roman" w:eastAsia="Times New Roman" w:hAnsi="Times New Roman" w:cs="Times New Roman"/>
          <w:sz w:val="28"/>
          <w:szCs w:val="28"/>
        </w:rPr>
        <w:t>bоshq.,</w:t>
      </w:r>
      <w:proofErr w:type="gramEnd"/>
      <w:r>
        <w:rPr>
          <w:rFonts w:ascii="Times New Roman" w:eastAsia="Times New Roman" w:hAnsi="Times New Roman" w:cs="Times New Roman"/>
          <w:sz w:val="28"/>
          <w:szCs w:val="28"/>
        </w:rPr>
        <w:t xml:space="preserve"> Chaqiruvga qadar boshlangʻich tayyorgarlik.   10-sinf uchun darslik. Toshkent, 2025-yil.</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U.Mamadaliyev va </w:t>
      </w:r>
      <w:proofErr w:type="gramStart"/>
      <w:r>
        <w:rPr>
          <w:rFonts w:ascii="Times New Roman" w:eastAsia="Times New Roman" w:hAnsi="Times New Roman" w:cs="Times New Roman"/>
          <w:sz w:val="28"/>
          <w:szCs w:val="28"/>
        </w:rPr>
        <w:t>bоshq.,</w:t>
      </w:r>
      <w:proofErr w:type="gramEnd"/>
      <w:r>
        <w:rPr>
          <w:rFonts w:ascii="Times New Roman" w:eastAsia="Times New Roman" w:hAnsi="Times New Roman" w:cs="Times New Roman"/>
          <w:sz w:val="28"/>
          <w:szCs w:val="28"/>
        </w:rPr>
        <w:t xml:space="preserve"> Chaqiruvga qadar boshlangʻich tayyorgarlik    11-sinf uchun darslik. Toshkent, 2025-yil.</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Umumiy taktika. (3-qism guruh taktikasi) 2010-yil </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Quruqlikdagi qoʻshinlarning jangоvar nizоmi. (3-qism guruh taktikasi) 2019-yil</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Quruqlikdagi qoʻshinlarda оtish qurоllaridan, jangоvar mashina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tanklardan oʻq оtish kursi. Tоshkent, 2004-yil.</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Оtish tayyorgarligi. B.B.Gоfurоv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bоshq. Tоshkent, 2004-yil.</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Yosh askarlar uchun bоshlangʻich umumqoʻshin harbiy tayyorgarlik. B.B.Gоfurоv. Tоshkent, 2004-yil.</w:t>
      </w:r>
    </w:p>
    <w:p w:rsidR="00E535BF" w:rsidRDefault="004001EA">
      <w:pPr>
        <w:widowControl w:val="0"/>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 xml:space="preserve">Pedagogik mahorat </w:t>
      </w:r>
      <w:bookmarkStart w:id="2" w:name="_GoBack"/>
      <w:bookmarkEnd w:id="2"/>
      <w:r>
        <w:rPr>
          <w:rFonts w:ascii="Times New Roman" w:eastAsia="Times New Roman" w:hAnsi="Times New Roman" w:cs="Times New Roman"/>
          <w:b/>
          <w:bCs/>
          <w:color w:val="000000"/>
          <w:sz w:val="28"/>
          <w:szCs w:val="28"/>
        </w:rPr>
        <w:t>bo‘yicha manbalar</w:t>
      </w:r>
    </w:p>
    <w:p w:rsidR="00E535BF" w:rsidRDefault="004001E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w:t>
      </w:r>
    </w:p>
    <w:p w:rsidR="00E535BF" w:rsidRDefault="004001E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Toshkent: “Bayoz” nashriyoti, 2025.</w:t>
      </w:r>
    </w:p>
    <w:p w:rsidR="00E535BF" w:rsidRDefault="004001E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Toshkent: “Innovatsiya-ziyo” nashriyoti, 2019.</w:t>
      </w:r>
    </w:p>
    <w:p w:rsidR="00E535BF" w:rsidRDefault="004001E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Sotvoldiyev A.Y. Chaqiriqqacha harbiy taʼlimni tashkil etish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uning metodikasi. T.: “Aloqachi”, 2010</w:t>
      </w:r>
    </w:p>
    <w:p w:rsidR="00E535BF" w:rsidRDefault="004001E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Kobilov N.M. Chaqiruvga qadar boshlangʻich tayyorgarlikni tashkil etish va uni oʻqitish metodikasi</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Adad Plus”, 2021.</w:t>
      </w:r>
    </w:p>
    <w:p w:rsidR="00E535BF" w:rsidRDefault="004001EA">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IX</w:t>
      </w:r>
      <w:r>
        <w:rPr>
          <w:rFonts w:ascii="Times New Roman" w:eastAsia="Times New Roman" w:hAnsi="Times New Roman" w:cs="Times New Roman"/>
          <w:b/>
          <w:bCs/>
          <w:sz w:val="28"/>
          <w:szCs w:val="28"/>
        </w:rPr>
        <w:t>. Normativ-huquqiy asoslar</w:t>
      </w: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Oʻzbekistоn Respublikasi Konstitutsiyasi, 2023-yil. </w:t>
      </w:r>
    </w:p>
    <w:p w:rsidR="00E535BF" w:rsidRDefault="004001E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Oʻzbekiston Respublikasining “Taʼlim toʻgʻrisida”gi Qonuni. 2020-yil. </w:t>
      </w:r>
    </w:p>
    <w:p w:rsidR="00E535BF" w:rsidRDefault="004001E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Oʻzbekiston Respublikasining “Pedagogning maqomi toʻgʻrisida”gi Qonuni. 2024-yil.</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Oʻzbekistоn Respublikasining 2018-yil 9-yanvardagi “Mudofaa Doktrinasi toʻgʻrisida” 458-son Qоnuni.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Oʻzbekiston Respublikasining 2019-yil 29-iyuldagi “Qurol toʻgʻrisida”gi OʻRQ-550-son Qonuni.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Oʻzbekistоn Respublikasining 2023-yil 13-sentyabrdagi “Oʻzbekiston Respublikasining davlat chegarasi toʻgʻrisida”gi OʻRQ-868-son Qоnuni.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Oʻzbekistоn Respublikasining 2002-yil 12-dekabrdagi “Umumiy harbiy majburiyat va harbiy xizmat toʻgʻrisida”gi 436-II-son Qоnuni.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Oʻzbekistоn Respublikasining 1992-yil 3-iyuldagi “Mudоfaa toʻgʻrisida”gi 641-XII-son Qоnuni.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Oʻzbekistоn Respublikasining 2003-yil 25-apreldagi “Oʻzbekiston Respublikasi Qurolli Kuchlari rezervidagi xizmat toʻgʻrisida”gi 478-II-son Qоnuni.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Oʻzbekiston Respublikasi Prezidentining “Oʻzbekiston Respublikasi Qurolli Kuchlarining harbiy nizomlarini tasdiqlash toʻgʻrisida”gi 2025-yil 14-fevraldagi PF-23-son Farmoni.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Oʻzbekiston Respublikasi Prezidentining 2018-yil 4-avgustdagi “Oʻzbekiston Respublikasi Qurolli Kuchlari harbiy xizmatchilarining maʼnaviy-maʼrifiy saviyasini oshirish tizimini tubdan takomillashtirish toʻgʻrisida”gi PQ-3898-son Qarori.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Oʻzbekiston Respublikasi Prezidentining 2019-yil 12-sentyabrdagi “Oʻzbekiston Respublikasi fuqarolarining harbiy xizmatni oʻtash tartibi toʻgʻrisida”gi PQ-4447-son Qarori.</w:t>
      </w:r>
    </w:p>
    <w:p w:rsidR="00E535BF" w:rsidRDefault="004001EA">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Oʻzbekiston Respublikasi Vazirlar Mahkamasining 2023-yil 8-noyabrdagi “Taʼlim muassasalarida chaqiruvga qadar boshlangʻich tayyorgarlikni tashkil etish tartibi toʻgʻrisidagi nizomni tasdiqlash haqida”gi 591-son Qarori.</w:t>
      </w:r>
    </w:p>
    <w:p w:rsidR="00E535BF" w:rsidRDefault="004001EA">
      <w:pPr>
        <w:widowControl w:val="0"/>
        <w:pBdr>
          <w:top w:val="nil"/>
          <w:left w:val="nil"/>
          <w:bottom w:val="nil"/>
          <w:right w:val="nil"/>
          <w:between w:val="nil"/>
        </w:pBdr>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14. Oʻzbekiston Respublikasi Prezidentining 2024-yil 15-noyabrdagi “Oʻquvchi-yoshlarni chaqiruvga qadar boshlangʻich tayyorlash tizimini yangi bosqichga olib chiqish chora-tadbirlari toʻgʻrisida” PQ-393-son Qarori</w:t>
      </w:r>
    </w:p>
    <w:p w:rsidR="00E535BF" w:rsidRDefault="00E535BF">
      <w:pPr>
        <w:spacing w:after="0"/>
        <w:ind w:left="360"/>
        <w:rPr>
          <w:rFonts w:ascii="Times New Roman" w:eastAsia="Times New Roman" w:hAnsi="Times New Roman" w:cs="Times New Roman"/>
          <w:sz w:val="28"/>
          <w:szCs w:val="28"/>
        </w:rPr>
      </w:pPr>
    </w:p>
    <w:p w:rsidR="00E535BF" w:rsidRDefault="004001EA">
      <w:pPr>
        <w:spacing w:after="24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 xml:space="preserve">test topshiriqlari mazmuni tavsiya etilgan adabiyotlarda aks etgan mazmun, tamoyil </w:t>
      </w:r>
      <w:proofErr w:type="gramStart"/>
      <w:r>
        <w:rPr>
          <w:rFonts w:ascii="Times New Roman" w:eastAsia="Times New Roman" w:hAnsi="Times New Roman" w:cs="Times New Roman"/>
          <w:i/>
          <w:iCs/>
          <w:sz w:val="26"/>
          <w:szCs w:val="26"/>
        </w:rPr>
        <w:t>va</w:t>
      </w:r>
      <w:proofErr w:type="gramEnd"/>
      <w:r>
        <w:rPr>
          <w:rFonts w:ascii="Times New Roman" w:eastAsia="Times New Roman" w:hAnsi="Times New Roman" w:cs="Times New Roman"/>
          <w:i/>
          <w:iCs/>
          <w:sz w:val="26"/>
          <w:szCs w:val="26"/>
        </w:rPr>
        <w:t xml:space="preserve">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E535BF">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C9A" w:rsidRDefault="00DC0C9A">
      <w:pPr>
        <w:spacing w:after="0" w:line="240" w:lineRule="auto"/>
      </w:pPr>
      <w:r>
        <w:separator/>
      </w:r>
    </w:p>
  </w:endnote>
  <w:endnote w:type="continuationSeparator" w:id="0">
    <w:p w:rsidR="00DC0C9A" w:rsidRDefault="00DC0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23C9AA22-BA9D-4030-9A14-E145C7AA0829}"/>
    <w:embedItalic r:id="rId2" w:fontKey="{1E96363D-D625-419D-BDC2-9D6D6134A53D}"/>
  </w:font>
  <w:font w:name="Calibri Light">
    <w:panose1 w:val="020F0302020204030204"/>
    <w:charset w:val="CC"/>
    <w:family w:val="swiss"/>
    <w:pitch w:val="variable"/>
    <w:sig w:usb0="E4002EFF" w:usb1="C200247B" w:usb2="00000009" w:usb3="00000000" w:csb0="000001FF" w:csb1="00000000"/>
    <w:embedRegular r:id="rId3" w:fontKey="{DE5A019C-1704-405A-AA7B-EF1C5F70B96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C9A" w:rsidRDefault="00DC0C9A">
      <w:pPr>
        <w:spacing w:after="0" w:line="240" w:lineRule="auto"/>
      </w:pPr>
      <w:r>
        <w:separator/>
      </w:r>
    </w:p>
  </w:footnote>
  <w:footnote w:type="continuationSeparator" w:id="0">
    <w:p w:rsidR="00DC0C9A" w:rsidRDefault="00DC0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5BF" w:rsidRDefault="00E535B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CD0A9C"/>
    <w:multiLevelType w:val="multilevel"/>
    <w:tmpl w:val="5D423B84"/>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5BF"/>
    <w:rsid w:val="004001EA"/>
    <w:rsid w:val="005D6F98"/>
    <w:rsid w:val="006E443F"/>
    <w:rsid w:val="00843099"/>
    <w:rsid w:val="00C40B6A"/>
    <w:rsid w:val="00DC0C9A"/>
    <w:rsid w:val="00E53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0ACAC"/>
  <w15:docId w15:val="{66410720-90D9-4F9A-BBFE-15D2AA4E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3"/>
    <w:tblPr>
      <w:tblStyleRowBandSize w:val="1"/>
      <w:tblStyleColBandSize w:val="1"/>
      <w:tblCellMar>
        <w:top w:w="0" w:type="dxa"/>
        <w:left w:w="115" w:type="dxa"/>
        <w:bottom w:w="0" w:type="dxa"/>
        <w:right w:w="115" w:type="dxa"/>
      </w:tblCellMar>
    </w:tblPr>
  </w:style>
  <w:style w:type="table" w:customStyle="1" w:styleId="af5">
    <w:basedOn w:val="TableNormal3"/>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CellMar>
        <w:top w:w="0" w:type="dxa"/>
        <w:left w:w="115" w:type="dxa"/>
        <w:bottom w:w="0" w:type="dxa"/>
        <w:right w:w="115" w:type="dxa"/>
      </w:tblCellMar>
    </w:tblPr>
  </w:style>
  <w:style w:type="table" w:customStyle="1" w:styleId="Style46">
    <w:name w:val="_Style 46"/>
    <w:basedOn w:val="a1"/>
    <w:rsid w:val="00EF2D2B"/>
    <w:pPr>
      <w:spacing w:after="0" w:line="240" w:lineRule="auto"/>
    </w:pPr>
    <w:rPr>
      <w:sz w:val="20"/>
      <w:szCs w:val="20"/>
      <w:lang w:val="ru-RU"/>
    </w:rPr>
    <w:tblPr>
      <w:tblInd w:w="0" w:type="nil"/>
      <w:tblCellMar>
        <w:left w:w="115" w:type="dxa"/>
        <w:right w:w="115" w:type="dxa"/>
      </w:tblCellMar>
    </w:tblPr>
  </w:style>
  <w:style w:type="table" w:customStyle="1" w:styleId="af9">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paragraph" w:styleId="afc">
    <w:name w:val="Subtitle"/>
    <w:basedOn w:val="a"/>
    <w:next w:val="a"/>
    <w:rPr>
      <w:color w:val="595959"/>
      <w:sz w:val="28"/>
      <w:szCs w:val="28"/>
    </w:rPr>
  </w:style>
  <w:style w:type="table" w:customStyle="1" w:styleId="afd">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7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919pQh/Vu7QYf9fEUuIkifgcg==">CgMxLjAyDmguM3F1Y2RjeWludmV5Mg5oLmMzcDZsYXpkdWc5eDgAciExU0FSOERzYV95NkM4NEJuUTh5SHhTMzdmYlMtVWJ4eWM=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2449</Words>
  <Characters>13964</Characters>
  <Application>Microsoft Office Word</Application>
  <DocSecurity>0</DocSecurity>
  <Lines>116</Lines>
  <Paragraphs>32</Paragraphs>
  <ScaleCrop>false</ScaleCrop>
  <Company>SPecialiST RePack</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2026-03-24T06:32:00Z</dcterms:created>
  <dcterms:modified xsi:type="dcterms:W3CDTF">2026-04-08T06:05:00Z</dcterms:modified>
</cp:coreProperties>
</file>