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887" w:rsidRDefault="001454CF">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OʻZBEKISTON RESPUBLIKASI </w:t>
      </w:r>
    </w:p>
    <w:p w:rsidR="009D6887" w:rsidRDefault="001454CF">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MAKTABGACHA VA MAKTAB TAʼLIMI VAZIRLIGI </w:t>
      </w:r>
    </w:p>
    <w:p w:rsidR="009D6887" w:rsidRDefault="001454CF">
      <w:pPr>
        <w:spacing w:after="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IXTISOSLASHTIRILGAN TAʼLIM MUASSASALARI AGENTLIGI HUZURIDAGI PEDAGOGIK MAHORAT VA XALQARO BAHOLASH ILMIY-AMALIY MARKAZI</w:t>
      </w: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after="0" w:line="276" w:lineRule="auto"/>
        <w:ind w:firstLine="567"/>
        <w:jc w:val="center"/>
        <w:rPr>
          <w:rFonts w:ascii="Times New Roman" w:eastAsia="Times New Roman" w:hAnsi="Times New Roman" w:cs="Times New Roman"/>
          <w:b/>
          <w:bCs/>
          <w:sz w:val="28"/>
          <w:szCs w:val="28"/>
          <w:highlight w:val="white"/>
        </w:rPr>
      </w:pPr>
    </w:p>
    <w:p w:rsidR="009D6887" w:rsidRDefault="001454CF">
      <w:pPr>
        <w:spacing w:after="0" w:line="276" w:lineRule="auto"/>
        <w:ind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INFORMATIKA VA AXBOROT TEXNOLOGIYALARI FANIDAN KASBIY SERTIFIKATLASH TEST TOPSHIRIQLARI</w:t>
      </w:r>
    </w:p>
    <w:p w:rsidR="009D6887" w:rsidRDefault="001454CF">
      <w:pPr>
        <w:spacing w:after="240" w:line="276" w:lineRule="auto"/>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SPETSIFIKATSIYASI</w:t>
      </w: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9D6887">
      <w:pPr>
        <w:spacing w:before="280" w:after="280" w:line="276" w:lineRule="auto"/>
        <w:ind w:firstLine="567"/>
        <w:jc w:val="center"/>
        <w:rPr>
          <w:rFonts w:ascii="Times New Roman" w:eastAsia="Times New Roman" w:hAnsi="Times New Roman" w:cs="Times New Roman"/>
          <w:b/>
          <w:bCs/>
          <w:sz w:val="28"/>
          <w:szCs w:val="28"/>
          <w:highlight w:val="white"/>
        </w:rPr>
      </w:pPr>
    </w:p>
    <w:p w:rsidR="009D6887" w:rsidRDefault="001454CF">
      <w:pPr>
        <w:spacing w:before="280" w:after="28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Toshkent – 2026</w:t>
      </w:r>
    </w:p>
    <w:p w:rsidR="009D6887" w:rsidRDefault="009D6887">
      <w:pPr>
        <w:pBdr>
          <w:top w:val="nil"/>
          <w:left w:val="nil"/>
          <w:bottom w:val="nil"/>
          <w:right w:val="nil"/>
          <w:between w:val="nil"/>
        </w:pBdr>
        <w:spacing w:after="0" w:line="276" w:lineRule="auto"/>
        <w:ind w:firstLine="720"/>
        <w:jc w:val="center"/>
        <w:rPr>
          <w:rFonts w:ascii="Times New Roman" w:eastAsia="Times New Roman" w:hAnsi="Times New Roman" w:cs="Times New Roman"/>
          <w:b/>
          <w:bCs/>
          <w:sz w:val="28"/>
          <w:szCs w:val="28"/>
        </w:rPr>
      </w:pPr>
    </w:p>
    <w:p w:rsidR="009D6887" w:rsidRDefault="001454CF">
      <w:pPr>
        <w:spacing w:after="0" w:line="276" w:lineRule="auto"/>
        <w:ind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INFORMATIKA VA AXBOROT TEXNOLOGIYALARI FANIDAN KASBIY SERTIFIKATLASH TEST TOPSHIRIQLARI</w:t>
      </w:r>
    </w:p>
    <w:p w:rsidR="009D6887" w:rsidRDefault="001454CF">
      <w:pPr>
        <w:spacing w:after="240" w:line="276" w:lineRule="auto"/>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SPETSIFIKATSIYASI</w:t>
      </w:r>
    </w:p>
    <w:p w:rsidR="009D6887" w:rsidRDefault="001454CF">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o‘rta ta’lim tashkilotlari pedagog kadrlarini kasbiy sertifikatlash bo‘yicha davlat xizmatlarini ko‘rsatishning ma’muriy reglamentiga muvofiq ishlab chiqildi. Hujjat </w:t>
      </w:r>
      <w:r>
        <w:rPr>
          <w:rFonts w:ascii="Times New Roman" w:eastAsia="Times New Roman" w:hAnsi="Times New Roman" w:cs="Times New Roman"/>
          <w:sz w:val="28"/>
          <w:szCs w:val="28"/>
        </w:rPr>
        <w:t xml:space="preserve">informatika va axborot texnologiyalari </w:t>
      </w:r>
      <w:r>
        <w:rPr>
          <w:rFonts w:ascii="Times New Roman" w:eastAsia="Times New Roman" w:hAnsi="Times New Roman" w:cs="Times New Roman"/>
          <w:color w:val="000000"/>
          <w:sz w:val="28"/>
          <w:szCs w:val="28"/>
        </w:rPr>
        <w:t>fani o‘qituvchilarining kasbiy bilim, ko‘nikma va kompetensiyalarini baholash uchun qo‘llaniladigan test sinovlarining mazmuni, tuzilmasi va baholash mezonlarini belgilaydi.</w:t>
      </w:r>
    </w:p>
    <w:p w:rsidR="009D6887" w:rsidRDefault="001454CF">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9D6887" w:rsidRDefault="001454CF">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9D6887" w:rsidRDefault="001454CF">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Umumiy tamoyillar</w:t>
      </w:r>
    </w:p>
    <w:p w:rsidR="009D6887" w:rsidRDefault="001454CF">
      <w:pPr>
        <w:spacing w:before="240" w:after="0" w:line="276" w:lineRule="auto"/>
        <w:ind w:firstLine="720"/>
        <w:jc w:val="both"/>
        <w:rPr>
          <w:rFonts w:ascii="Times New Roman" w:eastAsia="Times New Roman" w:hAnsi="Times New Roman" w:cs="Times New Roman"/>
          <w:color w:val="000000"/>
          <w:sz w:val="28"/>
          <w:szCs w:val="28"/>
        </w:rPr>
      </w:pPr>
      <w:bookmarkStart w:id="0" w:name="_heading=h.uy1pufrahzyb" w:colFirst="0" w:colLast="0"/>
      <w:bookmarkEnd w:id="0"/>
      <w:r>
        <w:rPr>
          <w:rFonts w:ascii="Times New Roman" w:eastAsia="Times New Roman" w:hAnsi="Times New Roman" w:cs="Times New Roman"/>
          <w:color w:val="000000"/>
          <w:sz w:val="28"/>
          <w:szCs w:val="28"/>
        </w:rPr>
        <w:t xml:space="preserve">Baholashning asosiy maqsadi </w:t>
      </w:r>
      <w:r>
        <w:rPr>
          <w:rFonts w:ascii="Times New Roman" w:eastAsia="Times New Roman" w:hAnsi="Times New Roman" w:cs="Times New Roman"/>
          <w:sz w:val="28"/>
          <w:szCs w:val="28"/>
        </w:rPr>
        <w:t>informatika va axborot texnologiyalari</w:t>
      </w:r>
      <w:r>
        <w:rPr>
          <w:rFonts w:ascii="Times New Roman" w:eastAsia="Times New Roman" w:hAnsi="Times New Roman" w:cs="Times New Roman"/>
          <w:color w:val="000000"/>
          <w:sz w:val="28"/>
          <w:szCs w:val="28"/>
        </w:rPr>
        <w:t xml:space="preserve"> fani o‘qituvchilarining fan bo‘yicha nazariy bilimlari, amaliy ko‘nikmalarini tashkil etish kompetensiyasi, </w:t>
      </w:r>
      <w:r>
        <w:rPr>
          <w:rFonts w:ascii="Times New Roman" w:eastAsia="Times New Roman" w:hAnsi="Times New Roman" w:cs="Times New Roman"/>
          <w:sz w:val="28"/>
          <w:szCs w:val="28"/>
        </w:rPr>
        <w:t>informatika va axborot texnologiyalari</w:t>
      </w:r>
      <w:r>
        <w:rPr>
          <w:rFonts w:ascii="Times New Roman" w:eastAsia="Times New Roman" w:hAnsi="Times New Roman" w:cs="Times New Roman"/>
          <w:color w:val="000000"/>
          <w:sz w:val="28"/>
          <w:szCs w:val="28"/>
        </w:rPr>
        <w:t xml:space="preserve"> fanini o‘qitish metodikasi bo‘yicha bilimlari, pedagogik mahorati va kasbiy kompetensiyalarini kompleks baholashdan iborat. Baholash natijalari pedagog kadrlarni kasbiy sertifikatlash jarayonida qaror qabul qilish uchun asos bo‘lib xizmat qiladi.</w:t>
      </w:r>
    </w:p>
    <w:p w:rsidR="009D6887" w:rsidRDefault="001454CF">
      <w:pPr>
        <w:spacing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Meʼyoriy asoslar</w:t>
      </w:r>
    </w:p>
    <w:p w:rsidR="009D6887" w:rsidRDefault="001454CF">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9D6887" w:rsidRDefault="001454CF">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9D6887" w:rsidRDefault="001454CF">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Baholash qamrovi</w:t>
      </w:r>
    </w:p>
    <w:p w:rsidR="009D6887" w:rsidRDefault="001454C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Pr>
          <w:rFonts w:ascii="Times New Roman" w:eastAsia="Times New Roman" w:hAnsi="Times New Roman" w:cs="Times New Roman"/>
          <w:color w:val="000000"/>
          <w:sz w:val="28"/>
          <w:szCs w:val="28"/>
        </w:rPr>
        <w:t>nformatika va axborot texnologiyalari</w:t>
      </w:r>
      <w:r>
        <w:rPr>
          <w:rFonts w:ascii="Times New Roman" w:eastAsia="Times New Roman" w:hAnsi="Times New Roman" w:cs="Times New Roman"/>
          <w:sz w:val="28"/>
          <w:szCs w:val="28"/>
        </w:rPr>
        <w:t xml:space="preserve"> fani oʻqituvchilari uchun mutaxassislik fanidan 40 ta, pedagogik mahoratdan 10 ta, jami 50 ta test topshirigʻi taqdim etiladi va umumiy test topshirigʻini bajarish uchun ajratilgan vaqt 120 daqiqa etib belgilanadi. Bunda yopiq test topshiriqlaridan (</w:t>
      </w:r>
      <w:r>
        <w:rPr>
          <w:rFonts w:ascii="Times New Roman" w:eastAsia="Times New Roman" w:hAnsi="Times New Roman" w:cs="Times New Roman"/>
          <w:i/>
          <w:iCs/>
          <w:sz w:val="28"/>
          <w:szCs w:val="28"/>
        </w:rPr>
        <w:t xml:space="preserve">yagona toʻgʻri javobni talab </w:t>
      </w:r>
      <w:r>
        <w:rPr>
          <w:rFonts w:ascii="Times New Roman" w:eastAsia="Times New Roman" w:hAnsi="Times New Roman" w:cs="Times New Roman"/>
          <w:i/>
          <w:iCs/>
          <w:sz w:val="28"/>
          <w:szCs w:val="28"/>
        </w:rPr>
        <w:lastRenderedPageBreak/>
        <w:t>qiladigan (Y1), moslashtirishni talab qiladigan (Y2) va ketma-ketlikni talab qiladigan test topshiriqlari(Y3</w:t>
      </w:r>
      <w:r>
        <w:rPr>
          <w:rFonts w:ascii="Times New Roman" w:eastAsia="Times New Roman" w:hAnsi="Times New Roman" w:cs="Times New Roman"/>
          <w:sz w:val="28"/>
          <w:szCs w:val="28"/>
        </w:rPr>
        <w:t>) foydalaniladi. Mutaxassislik fanlaridan tuziladigan test topshiriqlarining mazmun sohasi va baholanadigan bilim va koʻnikmalar boʻyicha taqsimoti quyidagi jadvalda aks etgan.</w:t>
      </w:r>
    </w:p>
    <w:p w:rsidR="009D6887" w:rsidRDefault="009D6887">
      <w:pPr>
        <w:widowControl w:val="0"/>
        <w:spacing w:after="0" w:line="276" w:lineRule="auto"/>
        <w:ind w:firstLine="567"/>
        <w:jc w:val="center"/>
        <w:rPr>
          <w:rFonts w:ascii="Times New Roman" w:eastAsia="Times New Roman" w:hAnsi="Times New Roman" w:cs="Times New Roman"/>
          <w:b/>
          <w:bCs/>
          <w:sz w:val="28"/>
          <w:szCs w:val="28"/>
        </w:rPr>
      </w:pPr>
    </w:p>
    <w:p w:rsidR="009D6887" w:rsidRDefault="001454CF">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9D6887" w:rsidRDefault="001454C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Test sinovi i</w:t>
      </w:r>
      <w:r>
        <w:rPr>
          <w:rFonts w:ascii="Times New Roman" w:eastAsia="Times New Roman" w:hAnsi="Times New Roman" w:cs="Times New Roman"/>
          <w:color w:val="000000"/>
          <w:sz w:val="28"/>
          <w:szCs w:val="28"/>
        </w:rPr>
        <w:t>nformatika va axborot texnologiyalari</w:t>
      </w:r>
      <w:r>
        <w:rPr>
          <w:rFonts w:ascii="Times New Roman" w:eastAsia="Times New Roman" w:hAnsi="Times New Roman" w:cs="Times New Roman"/>
          <w:sz w:val="28"/>
          <w:szCs w:val="28"/>
        </w:rPr>
        <w:t xml:space="preserve"> fanining asosiy mazmun yo‘nalishlarini qamrab oladi. Xususan, test topshiriqlari informatika va axborot texnologiyalari fanidan nazariy, amaliy, texnik va ijtimoiy qismlari,  i</w:t>
      </w:r>
      <w:r>
        <w:rPr>
          <w:rFonts w:ascii="Times New Roman" w:eastAsia="Times New Roman" w:hAnsi="Times New Roman" w:cs="Times New Roman"/>
          <w:color w:val="000000"/>
          <w:sz w:val="28"/>
          <w:szCs w:val="28"/>
        </w:rPr>
        <w:t>nformatika va axborot texnologiyalari</w:t>
      </w:r>
      <w:r>
        <w:rPr>
          <w:rFonts w:ascii="Times New Roman" w:eastAsia="Times New Roman" w:hAnsi="Times New Roman" w:cs="Times New Roman"/>
          <w:sz w:val="28"/>
          <w:szCs w:val="28"/>
        </w:rPr>
        <w:t xml:space="preserve">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9D6887" w:rsidRDefault="009D6887">
      <w:pPr>
        <w:widowControl w:val="0"/>
        <w:spacing w:after="0" w:line="276" w:lineRule="auto"/>
        <w:ind w:firstLine="567"/>
        <w:jc w:val="both"/>
        <w:rPr>
          <w:rFonts w:ascii="Times New Roman" w:eastAsia="Times New Roman" w:hAnsi="Times New Roman" w:cs="Times New Roman"/>
          <w:sz w:val="28"/>
          <w:szCs w:val="28"/>
        </w:rPr>
      </w:pPr>
    </w:p>
    <w:p w:rsidR="009D6887" w:rsidRDefault="001454CF">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Mutaxassislik fanlaridan tuziladigan test topshiriqlarining mazmun sohasi va baholanadigan bilim va koʻnikmalari boʻyicha taqsimoti </w:t>
      </w:r>
    </w:p>
    <w:p w:rsidR="009D6887" w:rsidRDefault="001454CF">
      <w:pPr>
        <w:pBdr>
          <w:top w:val="nil"/>
          <w:left w:val="nil"/>
          <w:bottom w:val="nil"/>
          <w:right w:val="nil"/>
          <w:between w:val="nil"/>
        </w:pBdr>
        <w:spacing w:after="0" w:line="276"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1-jadval</w:t>
      </w:r>
    </w:p>
    <w:tbl>
      <w:tblPr>
        <w:tblStyle w:val="ac"/>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6095"/>
        <w:gridCol w:w="1134"/>
      </w:tblGrid>
      <w:tr w:rsidR="009D6887" w:rsidTr="00476DC1">
        <w:trPr>
          <w:trHeight w:val="607"/>
        </w:trPr>
        <w:tc>
          <w:tcPr>
            <w:tcW w:w="2269" w:type="dxa"/>
            <w:shd w:val="clear" w:color="auto" w:fill="FFFFFF"/>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Mazmun soha</w:t>
            </w:r>
          </w:p>
        </w:tc>
        <w:tc>
          <w:tcPr>
            <w:tcW w:w="6095" w:type="dxa"/>
            <w:shd w:val="clear" w:color="auto" w:fill="FFFFFF"/>
            <w:vAlign w:val="center"/>
          </w:tcPr>
          <w:p w:rsidR="009D6887" w:rsidRDefault="001454CF">
            <w:pPr>
              <w:widowControl w:val="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4"/>
                <w:szCs w:val="24"/>
              </w:rPr>
              <w:t>Baholanadigan konstruktlar</w:t>
            </w:r>
          </w:p>
        </w:tc>
        <w:tc>
          <w:tcPr>
            <w:tcW w:w="1134" w:type="dxa"/>
            <w:shd w:val="clear" w:color="auto" w:fill="FFFFFF"/>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Testlar soni</w:t>
            </w:r>
          </w:p>
        </w:tc>
      </w:tr>
      <w:tr w:rsidR="009D6887" w:rsidTr="00476DC1">
        <w:trPr>
          <w:trHeight w:val="576"/>
        </w:trPr>
        <w:tc>
          <w:tcPr>
            <w:tcW w:w="9498" w:type="dxa"/>
            <w:gridSpan w:val="3"/>
            <w:tcBorders>
              <w:bottom w:val="single" w:sz="4" w:space="0" w:color="000000"/>
            </w:tcBorders>
            <w:shd w:val="clear" w:color="auto" w:fill="FFFFFF"/>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Axborot va raqamli savodxonlik asoslari (1–6-savollar)</w:t>
            </w:r>
          </w:p>
        </w:tc>
      </w:tr>
      <w:tr w:rsidR="009D6887" w:rsidTr="00476DC1">
        <w:trPr>
          <w:cantSplit/>
          <w:trHeight w:val="964"/>
        </w:trPr>
        <w:tc>
          <w:tcPr>
            <w:tcW w:w="2269" w:type="dxa"/>
            <w:vMerge w:val="restart"/>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Axborot tushunchasi, </w:t>
            </w:r>
          </w:p>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axborotni kodlash va raqamli madaniyat </w:t>
            </w: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informatika, axborot, ma’lumot va bilim tushunchalarini bilish va farqlay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axborot turlari va manbalarini bilish;</w:t>
            </w:r>
          </w:p>
        </w:tc>
        <w:tc>
          <w:tcPr>
            <w:tcW w:w="1134" w:type="dxa"/>
            <w:vMerge w:val="restart"/>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733"/>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axborotni kodlash;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axborot oʻlchov birliklari;</w:t>
            </w:r>
          </w:p>
        </w:tc>
        <w:tc>
          <w:tcPr>
            <w:tcW w:w="1134"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r>
      <w:tr w:rsidR="009D6887" w:rsidTr="00476DC1">
        <w:trPr>
          <w:cantSplit/>
          <w:trHeight w:val="583"/>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sanoq sistemalari haqida;</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sonlarni bir sanoq sistemasidan boshqa sanoq sistemasiga oʻtkazish;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turli sanoq sistemalarida arifmetik amallarning bajarilishi;</w:t>
            </w:r>
          </w:p>
        </w:tc>
        <w:tc>
          <w:tcPr>
            <w:tcW w:w="1134" w:type="dxa"/>
            <w:vMerge w:val="restart"/>
            <w:tcBorders>
              <w:top w:val="single" w:sz="4" w:space="0" w:color="000000"/>
            </w:tcBorders>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ta</w:t>
            </w:r>
          </w:p>
        </w:tc>
      </w:tr>
      <w:tr w:rsidR="009D6887" w:rsidTr="00476DC1">
        <w:trPr>
          <w:cantSplit/>
          <w:trHeight w:val="617"/>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matnli, grafik, audio va video axborotlarni kodlash – ma’lumotlarning to‘g‘riligini tekshirish </w:t>
            </w:r>
          </w:p>
        </w:tc>
        <w:tc>
          <w:tcPr>
            <w:tcW w:w="1134" w:type="dxa"/>
            <w:vMerge/>
            <w:tcBorders>
              <w:top w:val="single" w:sz="4" w:space="0" w:color="000000"/>
            </w:tcBorders>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r>
      <w:tr w:rsidR="009D6887" w:rsidTr="00476DC1">
        <w:trPr>
          <w:cantSplit/>
          <w:trHeight w:val="576"/>
        </w:trPr>
        <w:tc>
          <w:tcPr>
            <w:tcW w:w="9498" w:type="dxa"/>
            <w:gridSpan w:val="3"/>
            <w:vAlign w:val="center"/>
          </w:tcPr>
          <w:p w:rsidR="009D6887" w:rsidRPr="00476DC1"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476DC1">
              <w:rPr>
                <w:rFonts w:ascii="Times New Roman" w:eastAsia="Times New Roman" w:hAnsi="Times New Roman" w:cs="Times New Roman"/>
                <w:b/>
                <w:bCs/>
                <w:sz w:val="28"/>
                <w:szCs w:val="28"/>
              </w:rPr>
              <w:t xml:space="preserve">2. Kompyuter tizimlari va dasturiy muhit (7–15-savollar) </w:t>
            </w:r>
          </w:p>
        </w:tc>
      </w:tr>
      <w:tr w:rsidR="009D6887" w:rsidTr="00476DC1">
        <w:trPr>
          <w:cantSplit/>
          <w:trHeight w:val="2088"/>
        </w:trPr>
        <w:tc>
          <w:tcPr>
            <w:tcW w:w="2269" w:type="dxa"/>
            <w:tcBorders>
              <w:bottom w:val="single" w:sz="4" w:space="0" w:color="000000"/>
            </w:tcBorders>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Kompyuterning texnik va dasturiy ta’minoti</w:t>
            </w:r>
          </w:p>
        </w:tc>
        <w:tc>
          <w:tcPr>
            <w:tcW w:w="6095" w:type="dxa"/>
            <w:tcBorders>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kompyuter qurilmalari va ularning vazifalarini bilish;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operatsion tizimlar va ularning imkoniyatlarini bilish va farqlash;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fayl va papkalar bilan ishlash;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tizimli va amaliy dasturlarni bilish va ulardan amaliyotda foydalana olish;</w:t>
            </w:r>
          </w:p>
        </w:tc>
        <w:tc>
          <w:tcPr>
            <w:tcW w:w="1134" w:type="dxa"/>
            <w:tcBorders>
              <w:bottom w:val="single" w:sz="4" w:space="0" w:color="000000"/>
            </w:tcBorders>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ta</w:t>
            </w:r>
          </w:p>
        </w:tc>
      </w:tr>
      <w:tr w:rsidR="009D6887" w:rsidTr="00476DC1">
        <w:trPr>
          <w:cantSplit/>
          <w:trHeight w:val="410"/>
        </w:trPr>
        <w:tc>
          <w:tcPr>
            <w:tcW w:w="2269" w:type="dxa"/>
            <w:vMerge w:val="restart"/>
            <w:tcBorders>
              <w:top w:val="single" w:sz="4" w:space="0" w:color="000000"/>
            </w:tcBorders>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Amaliy ofis dasturlari: MS Word, MS Excel, MS PowerPoint </w:t>
            </w: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MS Word dasturida hujjatlar bilan ishlash;</w:t>
            </w:r>
          </w:p>
        </w:tc>
        <w:tc>
          <w:tcPr>
            <w:tcW w:w="1134" w:type="dxa"/>
            <w:tcBorders>
              <w:top w:val="single" w:sz="4" w:space="0" w:color="000000"/>
              <w:bottom w:val="single" w:sz="4" w:space="0" w:color="000000"/>
            </w:tcBorders>
            <w:vAlign w:val="center"/>
          </w:tcPr>
          <w:p w:rsidR="009D6887" w:rsidRDefault="001454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663"/>
        </w:trPr>
        <w:tc>
          <w:tcPr>
            <w:tcW w:w="2269" w:type="dxa"/>
            <w:vMerge/>
            <w:tcBorders>
              <w:top w:val="single" w:sz="4" w:space="0" w:color="000000"/>
            </w:tcBorders>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MS Excel dasturida jadval bilan ishlay olish, formulalar, funksiyalar, filtrlardan foydalana olish, diagrammalarni tahlil qila olish;</w:t>
            </w:r>
          </w:p>
        </w:tc>
        <w:tc>
          <w:tcPr>
            <w:tcW w:w="1134" w:type="dxa"/>
            <w:tcBorders>
              <w:top w:val="single" w:sz="4" w:space="0" w:color="000000"/>
              <w:bottom w:val="single" w:sz="4" w:space="0" w:color="000000"/>
            </w:tcBorders>
            <w:vAlign w:val="center"/>
          </w:tcPr>
          <w:p w:rsidR="009D6887" w:rsidRDefault="001454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653"/>
        </w:trPr>
        <w:tc>
          <w:tcPr>
            <w:tcW w:w="2269" w:type="dxa"/>
            <w:vMerge/>
            <w:tcBorders>
              <w:top w:val="single" w:sz="4" w:space="0" w:color="000000"/>
            </w:tcBorders>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MS PowerPoint dasturida taqdimot yaratish, animatsiya va o‘tish effektlarini qo‘llay olish.</w:t>
            </w:r>
          </w:p>
        </w:tc>
        <w:tc>
          <w:tcPr>
            <w:tcW w:w="1134" w:type="dxa"/>
            <w:tcBorders>
              <w:top w:val="single" w:sz="4" w:space="0" w:color="000000"/>
            </w:tcBorders>
            <w:vAlign w:val="center"/>
          </w:tcPr>
          <w:p w:rsidR="009D6887" w:rsidRDefault="001454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576"/>
        </w:trPr>
        <w:tc>
          <w:tcPr>
            <w:tcW w:w="9498" w:type="dxa"/>
            <w:gridSpan w:val="3"/>
            <w:vAlign w:val="center"/>
          </w:tcPr>
          <w:p w:rsidR="009D6887" w:rsidRPr="00476DC1"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476DC1">
              <w:rPr>
                <w:rFonts w:ascii="Times New Roman" w:eastAsia="Times New Roman" w:hAnsi="Times New Roman" w:cs="Times New Roman"/>
                <w:b/>
                <w:bCs/>
                <w:sz w:val="28"/>
                <w:szCs w:val="28"/>
              </w:rPr>
              <w:t xml:space="preserve">3. Mantiqiy fikrlash va algoritmlash (16–20-savollar) </w:t>
            </w:r>
          </w:p>
        </w:tc>
      </w:tr>
      <w:tr w:rsidR="009D6887" w:rsidTr="00476DC1">
        <w:trPr>
          <w:cantSplit/>
          <w:trHeight w:val="1248"/>
        </w:trPr>
        <w:tc>
          <w:tcPr>
            <w:tcW w:w="2269" w:type="dxa"/>
            <w:vMerge w:val="restart"/>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Mantiqiy mulohazalar va modellar </w:t>
            </w:r>
          </w:p>
        </w:tc>
        <w:tc>
          <w:tcPr>
            <w:tcW w:w="6095" w:type="dxa"/>
            <w:tcBorders>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sodda va murakkab mantiqiy mulohazalar tuza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mantiqiy mulohazalar yordamida amallar bajara olish;</w:t>
            </w:r>
          </w:p>
        </w:tc>
        <w:tc>
          <w:tcPr>
            <w:tcW w:w="1134" w:type="dxa"/>
            <w:vMerge w:val="restart"/>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ta</w:t>
            </w:r>
          </w:p>
        </w:tc>
      </w:tr>
      <w:tr w:rsidR="009D6887" w:rsidTr="00476DC1">
        <w:trPr>
          <w:cantSplit/>
          <w:trHeight w:val="613"/>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masalani hal qilishda mantiqiy mulohazalardan foydalanib xulosalar chiqara olish; </w:t>
            </w:r>
          </w:p>
        </w:tc>
        <w:tc>
          <w:tcPr>
            <w:tcW w:w="1134"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r>
      <w:tr w:rsidR="009D6887" w:rsidTr="00476DC1">
        <w:trPr>
          <w:cantSplit/>
          <w:trHeight w:val="689"/>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rostlik jadvali, mantiqiy sxemalarni tushuna olish va ularga oid topshiriqlarni bajara olish.</w:t>
            </w:r>
          </w:p>
        </w:tc>
        <w:tc>
          <w:tcPr>
            <w:tcW w:w="1134"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r>
      <w:tr w:rsidR="009D6887" w:rsidTr="00476DC1">
        <w:trPr>
          <w:cantSplit/>
          <w:trHeight w:val="1604"/>
        </w:trPr>
        <w:tc>
          <w:tcPr>
            <w:tcW w:w="2269" w:type="dxa"/>
            <w:tcBorders>
              <w:top w:val="single" w:sz="4" w:space="0" w:color="000000"/>
            </w:tcBorders>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Algoritmlash</w:t>
            </w:r>
          </w:p>
        </w:tc>
        <w:tc>
          <w:tcPr>
            <w:tcW w:w="6095" w:type="dxa"/>
            <w:tcBorders>
              <w:top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algoritm va uning turlarini bilish va farqlash;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algoritm tuzish va uni mantiqan tekshirish, blok sxema yoki psevdokodda algoritmni ifodalash;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masalaning algoritmini tuza olish va unga doir topshiriqlarni bajara olish; </w:t>
            </w:r>
          </w:p>
          <w:p w:rsidR="009D6887" w:rsidRPr="00476DC1" w:rsidRDefault="001454CF">
            <w:pPr>
              <w:widowControl w:val="0"/>
              <w:spacing w:after="0" w:line="240" w:lineRule="auto"/>
              <w:jc w:val="both"/>
              <w:rPr>
                <w:rFonts w:ascii="Times New Roman" w:eastAsia="Times New Roman" w:hAnsi="Times New Roman" w:cs="Times New Roman"/>
                <w:b/>
                <w:bCs/>
                <w:sz w:val="28"/>
                <w:szCs w:val="28"/>
              </w:rPr>
            </w:pPr>
            <w:r w:rsidRPr="00476DC1">
              <w:rPr>
                <w:rFonts w:ascii="Times New Roman" w:eastAsia="Times New Roman" w:hAnsi="Times New Roman" w:cs="Times New Roman"/>
                <w:iCs/>
                <w:sz w:val="28"/>
                <w:szCs w:val="28"/>
              </w:rPr>
              <w:t>– algortimni tahlil qilish, berilgan muammo uchun eng maqbul algoritmni tanlash.</w:t>
            </w:r>
          </w:p>
        </w:tc>
        <w:tc>
          <w:tcPr>
            <w:tcW w:w="1134" w:type="dxa"/>
            <w:tcBorders>
              <w:top w:val="single" w:sz="4" w:space="0" w:color="000000"/>
            </w:tcBorders>
            <w:vAlign w:val="center"/>
          </w:tcPr>
          <w:p w:rsidR="009D6887" w:rsidRDefault="001454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ta </w:t>
            </w:r>
          </w:p>
        </w:tc>
      </w:tr>
      <w:tr w:rsidR="009D6887" w:rsidTr="00476DC1">
        <w:trPr>
          <w:cantSplit/>
          <w:trHeight w:val="576"/>
        </w:trPr>
        <w:tc>
          <w:tcPr>
            <w:tcW w:w="9498" w:type="dxa"/>
            <w:gridSpan w:val="3"/>
            <w:vAlign w:val="center"/>
          </w:tcPr>
          <w:p w:rsidR="009D6887" w:rsidRPr="00476DC1"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476DC1">
              <w:rPr>
                <w:rFonts w:ascii="Times New Roman" w:eastAsia="Times New Roman" w:hAnsi="Times New Roman" w:cs="Times New Roman"/>
                <w:b/>
                <w:bCs/>
                <w:sz w:val="28"/>
                <w:szCs w:val="28"/>
              </w:rPr>
              <w:t xml:space="preserve">4. Dasturlash va ma’lumotlar bilan ishlash asoslari (21–30-savollar) </w:t>
            </w:r>
          </w:p>
        </w:tc>
      </w:tr>
      <w:tr w:rsidR="009D6887" w:rsidTr="00476DC1">
        <w:trPr>
          <w:cantSplit/>
          <w:trHeight w:val="1602"/>
        </w:trPr>
        <w:tc>
          <w:tcPr>
            <w:tcW w:w="2269" w:type="dxa"/>
            <w:vMerge w:val="restart"/>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Dasturlash asoslari: Scratch va LOGO muhitida dasturlash </w:t>
            </w:r>
          </w:p>
        </w:tc>
        <w:tc>
          <w:tcPr>
            <w:tcW w:w="6095" w:type="dxa"/>
            <w:tcBorders>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Scratch dasturida o‘zgaruvchilar yaratish va qo‘llay olish, koordinatalar tekisligida spraytning vaziyatini baholash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Scratch dasturida bloklar yordamida algoritm tuzish;</w:t>
            </w:r>
          </w:p>
        </w:tc>
        <w:tc>
          <w:tcPr>
            <w:tcW w:w="1134" w:type="dxa"/>
            <w:vMerge w:val="restart"/>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ta</w:t>
            </w:r>
          </w:p>
        </w:tc>
      </w:tr>
      <w:tr w:rsidR="009D6887" w:rsidTr="00476DC1">
        <w:trPr>
          <w:cantSplit/>
          <w:trHeight w:val="402"/>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Scratch dasturida shartli va takrorlanuvchi bloklardan masala yechishda foydalana olish;</w:t>
            </w:r>
          </w:p>
        </w:tc>
        <w:tc>
          <w:tcPr>
            <w:tcW w:w="1134"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r>
      <w:tr w:rsidR="009D6887" w:rsidTr="00476DC1">
        <w:trPr>
          <w:cantSplit/>
          <w:trHeight w:val="376"/>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Pen uskunasi yordamida turli shakllar chizish;</w:t>
            </w:r>
          </w:p>
        </w:tc>
        <w:tc>
          <w:tcPr>
            <w:tcW w:w="1134"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r>
      <w:tr w:rsidR="009D6887" w:rsidTr="00476DC1">
        <w:trPr>
          <w:cantSplit/>
          <w:trHeight w:val="801"/>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Kompyuter boshqaruvida “Toshbaqa grafika”sini qo‘llay olish.   </w:t>
            </w:r>
          </w:p>
        </w:tc>
        <w:tc>
          <w:tcPr>
            <w:tcW w:w="1134"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i/>
                <w:iCs/>
                <w:sz w:val="28"/>
                <w:szCs w:val="28"/>
              </w:rPr>
            </w:pPr>
          </w:p>
        </w:tc>
      </w:tr>
      <w:tr w:rsidR="009D6887" w:rsidTr="00476DC1">
        <w:trPr>
          <w:cantSplit/>
          <w:trHeight w:val="2445"/>
        </w:trPr>
        <w:tc>
          <w:tcPr>
            <w:tcW w:w="2269" w:type="dxa"/>
            <w:vMerge w:val="restart"/>
            <w:tcBorders>
              <w:top w:val="single" w:sz="4" w:space="0" w:color="000000"/>
            </w:tcBorders>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Python va JavaScript dasturlash tili yordamida kodli dasturlash </w:t>
            </w:r>
          </w:p>
        </w:tc>
        <w:tc>
          <w:tcPr>
            <w:tcW w:w="6095" w:type="dxa"/>
            <w:tcBorders>
              <w:top w:val="single" w:sz="4" w:space="0" w:color="000000"/>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Python dasturlash tili sintaksisi asoslarini bilish va qo‘llash;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–Python tilida o‘zgaruvchi, shart, sikl tushunchalarini bilish va masala yechishda qo‘llash, funksiya va massivlar bilan ishlay olish;</w:t>
            </w:r>
          </w:p>
        </w:tc>
        <w:tc>
          <w:tcPr>
            <w:tcW w:w="1134" w:type="dxa"/>
            <w:tcBorders>
              <w:top w:val="single" w:sz="4" w:space="0" w:color="000000"/>
              <w:bottom w:val="single" w:sz="4" w:space="0" w:color="000000"/>
            </w:tcBorders>
            <w:vAlign w:val="center"/>
          </w:tcPr>
          <w:p w:rsidR="009D6887" w:rsidRDefault="001454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1540"/>
        </w:trPr>
        <w:tc>
          <w:tcPr>
            <w:tcW w:w="2269" w:type="dxa"/>
            <w:vMerge/>
            <w:tcBorders>
              <w:top w:val="single" w:sz="4" w:space="0" w:color="000000"/>
            </w:tcBorders>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JavaScript dasturlash tili sintaksisi asoslarini bilish va qo‘llash;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JavaScript tilida o‘zgaruvchi, shart, sikl tushunchalarini bilish va masala yechishda qo‘llash, funksiya va massivlar bilan ishlay olish.</w:t>
            </w:r>
          </w:p>
        </w:tc>
        <w:tc>
          <w:tcPr>
            <w:tcW w:w="1134" w:type="dxa"/>
            <w:tcBorders>
              <w:top w:val="single" w:sz="4" w:space="0" w:color="000000"/>
              <w:bottom w:val="single" w:sz="4" w:space="0" w:color="000000"/>
            </w:tcBorders>
            <w:vAlign w:val="center"/>
          </w:tcPr>
          <w:p w:rsidR="009D6887" w:rsidRDefault="001454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1040"/>
        </w:trPr>
        <w:tc>
          <w:tcPr>
            <w:tcW w:w="2269" w:type="dxa"/>
            <w:tcBorders>
              <w:top w:val="single" w:sz="4" w:space="0" w:color="000000"/>
              <w:bottom w:val="single" w:sz="4" w:space="0" w:color="000000"/>
            </w:tcBorders>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Ma’lumotlar bazasi asoslari va MS Access bilan ishlash</w:t>
            </w:r>
          </w:p>
        </w:tc>
        <w:tc>
          <w:tcPr>
            <w:tcW w:w="6095" w:type="dxa"/>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ma’lumotlar bazasi va SQL asoslarini biladi;</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MS Access dasturida ma’lumotlar bazasida jadval yaratish va unga turli toifadagi ma’lumotlarni kirita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bir nechta jadvallarni kalitlar orqali bog‘lay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so‘rovlar yarata olish va ularni yordamida jadvaldan ma’lumotlarni ajratib olishda qo‘llash;</w:t>
            </w:r>
          </w:p>
          <w:p w:rsidR="009D6887" w:rsidRPr="00476DC1" w:rsidRDefault="001454CF">
            <w:pPr>
              <w:widowControl w:val="0"/>
              <w:spacing w:after="0" w:line="240" w:lineRule="auto"/>
              <w:jc w:val="both"/>
              <w:rPr>
                <w:rFonts w:ascii="Times New Roman" w:eastAsia="Times New Roman" w:hAnsi="Times New Roman" w:cs="Times New Roman"/>
                <w:b/>
                <w:bCs/>
                <w:sz w:val="28"/>
                <w:szCs w:val="28"/>
              </w:rPr>
            </w:pPr>
            <w:r w:rsidRPr="00476DC1">
              <w:rPr>
                <w:rFonts w:ascii="Times New Roman" w:eastAsia="Times New Roman" w:hAnsi="Times New Roman" w:cs="Times New Roman"/>
                <w:iCs/>
                <w:sz w:val="28"/>
                <w:szCs w:val="28"/>
              </w:rPr>
              <w:t>– murakkab so‘rovlar bilan berilgan masalalarni bajara olish.</w:t>
            </w:r>
          </w:p>
        </w:tc>
        <w:tc>
          <w:tcPr>
            <w:tcW w:w="1134" w:type="dxa"/>
            <w:tcBorders>
              <w:top w:val="single" w:sz="4" w:space="0" w:color="000000"/>
              <w:bottom w:val="single" w:sz="4" w:space="0" w:color="000000"/>
            </w:tcBorders>
            <w:vAlign w:val="center"/>
          </w:tcPr>
          <w:p w:rsidR="009D6887" w:rsidRDefault="001454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ta </w:t>
            </w:r>
          </w:p>
        </w:tc>
      </w:tr>
      <w:tr w:rsidR="009D6887" w:rsidTr="00476DC1">
        <w:trPr>
          <w:cantSplit/>
          <w:trHeight w:val="576"/>
        </w:trPr>
        <w:tc>
          <w:tcPr>
            <w:tcW w:w="9498" w:type="dxa"/>
            <w:gridSpan w:val="3"/>
            <w:vAlign w:val="center"/>
          </w:tcPr>
          <w:p w:rsidR="009D6887" w:rsidRPr="00476DC1"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476DC1">
              <w:rPr>
                <w:rFonts w:ascii="Times New Roman" w:eastAsia="Times New Roman" w:hAnsi="Times New Roman" w:cs="Times New Roman"/>
                <w:b/>
                <w:bCs/>
                <w:sz w:val="28"/>
                <w:szCs w:val="28"/>
              </w:rPr>
              <w:t>5. Grafika va veb-texnologiyalar (31–36-savollar)</w:t>
            </w:r>
          </w:p>
        </w:tc>
      </w:tr>
      <w:tr w:rsidR="009D6887" w:rsidTr="00476DC1">
        <w:trPr>
          <w:cantSplit/>
          <w:trHeight w:val="1652"/>
        </w:trPr>
        <w:tc>
          <w:tcPr>
            <w:tcW w:w="2269" w:type="dxa"/>
            <w:vMerge w:val="restart"/>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Grafika va veb-texnologiyalar</w:t>
            </w:r>
          </w:p>
        </w:tc>
        <w:tc>
          <w:tcPr>
            <w:tcW w:w="6095" w:type="dxa"/>
            <w:tcBorders>
              <w:bottom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kompyuter grafikasi turlarini farqlash;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rastrli va vektorli tasvirlar ustida amallar bajarish;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MS Paint, Paint.NET va Adobe Photoshop grafik muharrirlarida rasmlarni yaratish va tahrirlash;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animatsiya tushunchasi va uning turlari;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animatsion dasturlar va ularning imkoniyatlari;</w:t>
            </w:r>
          </w:p>
        </w:tc>
        <w:tc>
          <w:tcPr>
            <w:tcW w:w="1134" w:type="dxa"/>
            <w:tcBorders>
              <w:bottom w:val="single" w:sz="4" w:space="0" w:color="000000"/>
            </w:tcBorders>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1878"/>
        </w:trPr>
        <w:tc>
          <w:tcPr>
            <w:tcW w:w="2269" w:type="dxa"/>
            <w:vMerge/>
            <w:vAlign w:val="center"/>
          </w:tcPr>
          <w:p w:rsidR="009D6887" w:rsidRDefault="009D688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tcBorders>
              <w:top w:val="single" w:sz="4" w:space="0" w:color="000000"/>
            </w:tcBorders>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HTML markerlash tilida matnlar, rasm, ro‘yxat, jadval va forma teglari va ularning asosiy atributlari bilan ishlay olish;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CSS stillarini HTML elementlari (matn, rasm, ro‘yxat, jadvallar)ga qo‘llab, ularning ko‘rinishlarini o‘zgartira olish.</w:t>
            </w:r>
          </w:p>
        </w:tc>
        <w:tc>
          <w:tcPr>
            <w:tcW w:w="1134" w:type="dxa"/>
            <w:tcBorders>
              <w:top w:val="single" w:sz="4" w:space="0" w:color="000000"/>
            </w:tcBorders>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ta</w:t>
            </w:r>
          </w:p>
        </w:tc>
      </w:tr>
      <w:tr w:rsidR="009D6887" w:rsidTr="00476DC1">
        <w:trPr>
          <w:cantSplit/>
          <w:trHeight w:val="576"/>
        </w:trPr>
        <w:tc>
          <w:tcPr>
            <w:tcW w:w="9498" w:type="dxa"/>
            <w:gridSpan w:val="3"/>
            <w:vAlign w:val="center"/>
          </w:tcPr>
          <w:p w:rsidR="009D6887" w:rsidRPr="00476DC1"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476DC1">
              <w:rPr>
                <w:rFonts w:ascii="Times New Roman" w:eastAsia="Times New Roman" w:hAnsi="Times New Roman" w:cs="Times New Roman"/>
                <w:b/>
                <w:bCs/>
                <w:sz w:val="28"/>
                <w:szCs w:val="28"/>
              </w:rPr>
              <w:t>6. Kompyuter tizimlari va tarmoqlari (37–38-savollar)</w:t>
            </w:r>
          </w:p>
        </w:tc>
      </w:tr>
      <w:tr w:rsidR="009D6887" w:rsidTr="00476DC1">
        <w:trPr>
          <w:cantSplit/>
          <w:trHeight w:val="3542"/>
        </w:trPr>
        <w:tc>
          <w:tcPr>
            <w:tcW w:w="2269" w:type="dxa"/>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Kompyuter tarmoqlari va tarmoq arxitekturasi. IP manzillash hamda internetda ishlash asoslari</w:t>
            </w:r>
          </w:p>
        </w:tc>
        <w:tc>
          <w:tcPr>
            <w:tcW w:w="6095" w:type="dxa"/>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kompyuter tarmoqlari, tarmoq qurilmalarini bilish va farqlay olish;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tarmoq arxitekturasi, tarmoq topologiyalari va tarmoqning ishlash prinsiplarini bilish;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IP manzillash, tarmoq maskasi, tarmoq manzillarini bilish va ularni hisoblab topish;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internetdan xavfsiz va maqsadli foydalana olish;</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internet, brauzer, qidiruv tizimi tushunchalarini bilish va foydalana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internet qidiruv tizimlari orqali axborotlarni izlash. </w:t>
            </w:r>
          </w:p>
        </w:tc>
        <w:tc>
          <w:tcPr>
            <w:tcW w:w="1134" w:type="dxa"/>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r w:rsidR="009D6887" w:rsidTr="00476DC1">
        <w:trPr>
          <w:cantSplit/>
          <w:trHeight w:val="576"/>
        </w:trPr>
        <w:tc>
          <w:tcPr>
            <w:tcW w:w="9498" w:type="dxa"/>
            <w:gridSpan w:val="3"/>
            <w:vAlign w:val="center"/>
          </w:tcPr>
          <w:p w:rsidR="009D6887" w:rsidRPr="00476DC1"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476DC1">
              <w:rPr>
                <w:rFonts w:ascii="Times New Roman" w:eastAsia="Times New Roman" w:hAnsi="Times New Roman" w:cs="Times New Roman"/>
                <w:b/>
                <w:bCs/>
                <w:sz w:val="28"/>
                <w:szCs w:val="28"/>
              </w:rPr>
              <w:t xml:space="preserve">7. Axborot xavfsizligi va raqamli xizmatlar (39–40-savollar) </w:t>
            </w:r>
          </w:p>
        </w:tc>
      </w:tr>
      <w:tr w:rsidR="009D6887" w:rsidTr="00476DC1">
        <w:trPr>
          <w:cantSplit/>
          <w:trHeight w:val="3220"/>
        </w:trPr>
        <w:tc>
          <w:tcPr>
            <w:tcW w:w="2269" w:type="dxa"/>
            <w:vAlign w:val="center"/>
          </w:tcPr>
          <w:p w:rsidR="009D6887" w:rsidRDefault="001454CF">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Axborot xavfsizligi va raqamli platformalarda faoliyat olib borish </w:t>
            </w:r>
          </w:p>
        </w:tc>
        <w:tc>
          <w:tcPr>
            <w:tcW w:w="6095" w:type="dxa"/>
          </w:tcPr>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axborot xavfsizligi tahdidlarini tushunish va ulardan himoyalana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zararli dastur va phishing tushunchalari haqida bilish va ularni farqlarini tushunish;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elektron hukumat xizmatlarini bilish;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antivirus va himoya vositalaridan foydalanish;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SMM, CMS, LMS, MOOC tushunchalarini bilish;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kontent va auditoriya asoslarini farqlay olish; </w:t>
            </w:r>
          </w:p>
          <w:p w:rsidR="009D6887" w:rsidRPr="00476DC1" w:rsidRDefault="001454CF">
            <w:pPr>
              <w:widowControl w:val="0"/>
              <w:spacing w:after="0" w:line="240" w:lineRule="auto"/>
              <w:jc w:val="both"/>
              <w:rPr>
                <w:rFonts w:ascii="Times New Roman" w:eastAsia="Times New Roman" w:hAnsi="Times New Roman" w:cs="Times New Roman"/>
                <w:iCs/>
                <w:sz w:val="28"/>
                <w:szCs w:val="28"/>
              </w:rPr>
            </w:pPr>
            <w:r w:rsidRPr="00476DC1">
              <w:rPr>
                <w:rFonts w:ascii="Times New Roman" w:eastAsia="Times New Roman" w:hAnsi="Times New Roman" w:cs="Times New Roman"/>
                <w:iCs/>
                <w:sz w:val="28"/>
                <w:szCs w:val="28"/>
              </w:rPr>
              <w:t xml:space="preserve">– freelance faoliyati yo‘nalishlarini bilish va web-freelace platformalida ishlash olish. </w:t>
            </w:r>
          </w:p>
        </w:tc>
        <w:tc>
          <w:tcPr>
            <w:tcW w:w="1134" w:type="dxa"/>
            <w:vAlign w:val="center"/>
          </w:tcPr>
          <w:p w:rsidR="009D6887" w:rsidRDefault="001454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r>
    </w:tbl>
    <w:p w:rsidR="009D6887" w:rsidRDefault="009D6887">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p>
    <w:p w:rsidR="009D6887" w:rsidRDefault="001454CF">
      <w:pPr>
        <w:pBdr>
          <w:top w:val="nil"/>
          <w:left w:val="nil"/>
          <w:bottom w:val="nil"/>
          <w:right w:val="nil"/>
          <w:between w:val="nil"/>
        </w:pBdr>
        <w:spacing w:after="0"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Kasb standartlari va pedagogik mahoratdan tuziladigan test topshiriqlarining mazmun sohasi va baholanadigan bilim va koʻnikmalari boʻyicha taqsimoti </w:t>
      </w:r>
    </w:p>
    <w:p w:rsidR="009D6887" w:rsidRDefault="001454CF">
      <w:pPr>
        <w:pBdr>
          <w:top w:val="nil"/>
          <w:left w:val="nil"/>
          <w:bottom w:val="nil"/>
          <w:right w:val="nil"/>
          <w:between w:val="nil"/>
        </w:pBdr>
        <w:spacing w:after="0" w:line="240"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2-jadval</w:t>
      </w:r>
    </w:p>
    <w:tbl>
      <w:tblPr>
        <w:tblStyle w:val="ad"/>
        <w:tblW w:w="951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7512"/>
        <w:gridCol w:w="866"/>
      </w:tblGrid>
      <w:tr w:rsidR="009D6887" w:rsidTr="00476DC1">
        <w:trPr>
          <w:cantSplit/>
          <w:trHeight w:val="413"/>
        </w:trPr>
        <w:tc>
          <w:tcPr>
            <w:tcW w:w="8647" w:type="dxa"/>
            <w:gridSpan w:val="2"/>
            <w:tcBorders>
              <w:top w:val="single" w:sz="4" w:space="0" w:color="000000"/>
              <w:left w:val="single" w:sz="4" w:space="0" w:color="000000"/>
              <w:bottom w:val="single" w:sz="4" w:space="0" w:color="000000"/>
              <w:right w:val="single" w:sz="4" w:space="0" w:color="000000"/>
            </w:tcBorders>
            <w:vAlign w:val="center"/>
          </w:tcPr>
          <w:p w:rsidR="009D6887" w:rsidRDefault="001454CF">
            <w:pPr>
              <w:widowControl w:val="0"/>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2. PEDAGOGIK MAHORAT (41 – 50-savollar)</w:t>
            </w:r>
          </w:p>
        </w:tc>
        <w:tc>
          <w:tcPr>
            <w:tcW w:w="866" w:type="dxa"/>
            <w:tcBorders>
              <w:top w:val="single" w:sz="4" w:space="0" w:color="000000"/>
              <w:left w:val="single" w:sz="4" w:space="0" w:color="000000"/>
              <w:bottom w:val="single" w:sz="4" w:space="0" w:color="000000"/>
              <w:right w:val="single" w:sz="4" w:space="0" w:color="000000"/>
            </w:tcBorders>
            <w:vAlign w:val="center"/>
          </w:tcPr>
          <w:p w:rsidR="009D6887" w:rsidRDefault="001454CF">
            <w:pPr>
              <w:widowControl w:val="0"/>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10 ta</w:t>
            </w:r>
          </w:p>
        </w:tc>
      </w:tr>
      <w:tr w:rsidR="009D6887" w:rsidTr="00476DC1">
        <w:trPr>
          <w:cantSplit/>
          <w:trHeight w:val="413"/>
        </w:trPr>
        <w:tc>
          <w:tcPr>
            <w:tcW w:w="1135" w:type="dxa"/>
            <w:tcBorders>
              <w:top w:val="single" w:sz="4" w:space="0" w:color="000000"/>
              <w:left w:val="single" w:sz="4" w:space="0" w:color="000000"/>
              <w:bottom w:val="single" w:sz="4" w:space="0" w:color="000000"/>
              <w:right w:val="single" w:sz="4" w:space="0" w:color="000000"/>
            </w:tcBorders>
            <w:vAlign w:val="center"/>
          </w:tcPr>
          <w:p w:rsidR="009D6887" w:rsidRDefault="001454CF">
            <w:pPr>
              <w:widowControl w:val="0"/>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sz w:val="28"/>
                <w:szCs w:val="28"/>
                <w:highlight w:val="white"/>
              </w:rPr>
              <w:lastRenderedPageBreak/>
              <w:t>2.1. Umumiy pedagogika</w:t>
            </w:r>
          </w:p>
        </w:tc>
        <w:tc>
          <w:tcPr>
            <w:tcW w:w="7512" w:type="dxa"/>
            <w:tcBorders>
              <w:top w:val="single" w:sz="4" w:space="0" w:color="000000"/>
              <w:left w:val="single" w:sz="4" w:space="0" w:color="000000"/>
              <w:bottom w:val="single" w:sz="4" w:space="0" w:color="000000"/>
              <w:right w:val="single" w:sz="4" w:space="0" w:color="000000"/>
            </w:tcBorders>
            <w:vAlign w:val="center"/>
          </w:tcPr>
          <w:p w:rsidR="000E07D8" w:rsidRDefault="000E07D8" w:rsidP="000E07D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0E07D8" w:rsidRDefault="000E07D8" w:rsidP="000E07D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0E07D8" w:rsidRDefault="000E07D8" w:rsidP="000E07D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0E07D8" w:rsidRDefault="000E07D8" w:rsidP="000E07D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0E07D8" w:rsidRDefault="000E07D8" w:rsidP="000E07D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0E07D8" w:rsidRDefault="000E07D8" w:rsidP="000E07D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0E07D8" w:rsidRDefault="000E07D8" w:rsidP="000E07D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9D6887" w:rsidRDefault="000E07D8" w:rsidP="000E07D8">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w:t>
            </w:r>
          </w:p>
        </w:tc>
        <w:tc>
          <w:tcPr>
            <w:tcW w:w="866" w:type="dxa"/>
            <w:tcBorders>
              <w:top w:val="single" w:sz="4" w:space="0" w:color="000000"/>
              <w:left w:val="single" w:sz="4" w:space="0" w:color="000000"/>
              <w:bottom w:val="single" w:sz="4" w:space="0" w:color="000000"/>
              <w:right w:val="single" w:sz="4" w:space="0" w:color="000000"/>
            </w:tcBorders>
            <w:vAlign w:val="center"/>
          </w:tcPr>
          <w:p w:rsidR="009D6887" w:rsidRDefault="001454CF">
            <w:pPr>
              <w:widowControl w:val="0"/>
              <w:spacing w:after="0"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7</w:t>
            </w:r>
          </w:p>
        </w:tc>
      </w:tr>
      <w:tr w:rsidR="009D6887" w:rsidTr="00476DC1">
        <w:trPr>
          <w:cantSplit/>
          <w:trHeight w:val="413"/>
        </w:trPr>
        <w:tc>
          <w:tcPr>
            <w:tcW w:w="1135" w:type="dxa"/>
            <w:tcBorders>
              <w:top w:val="single" w:sz="4" w:space="0" w:color="000000"/>
              <w:left w:val="single" w:sz="4" w:space="0" w:color="000000"/>
              <w:bottom w:val="single" w:sz="4" w:space="0" w:color="000000"/>
              <w:right w:val="single" w:sz="4" w:space="0" w:color="000000"/>
            </w:tcBorders>
            <w:vAlign w:val="center"/>
          </w:tcPr>
          <w:p w:rsidR="009D6887" w:rsidRDefault="001454CF">
            <w:pPr>
              <w:widowControl w:val="0"/>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color w:val="000000"/>
                <w:sz w:val="28"/>
                <w:szCs w:val="28"/>
                <w:highlight w:val="white"/>
              </w:rPr>
              <w:lastRenderedPageBreak/>
              <w:t>2.2. Informatika o‘qitish metodikasi</w:t>
            </w:r>
          </w:p>
        </w:tc>
        <w:tc>
          <w:tcPr>
            <w:tcW w:w="7512" w:type="dxa"/>
            <w:tcBorders>
              <w:top w:val="single" w:sz="4" w:space="0" w:color="000000"/>
              <w:left w:val="single" w:sz="4" w:space="0" w:color="000000"/>
              <w:bottom w:val="single" w:sz="4" w:space="0" w:color="000000"/>
              <w:right w:val="single" w:sz="4" w:space="0" w:color="000000"/>
            </w:tcBorders>
            <w:vAlign w:val="center"/>
          </w:tcPr>
          <w:p w:rsidR="009D6887" w:rsidRDefault="001454CF">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fan mazmun sohasini oʻqitish yondashuvlari, metodikasi va texnologiyalarini bilish;</w:t>
            </w:r>
          </w:p>
          <w:p w:rsidR="009D6887" w:rsidRDefault="001454CF">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fan sohasini oʻqitish usullari va metodlarini farqlash va berilgan vaziyatga mosini tanlash; </w:t>
            </w:r>
          </w:p>
          <w:p w:rsidR="009D6887" w:rsidRDefault="001454CF">
            <w:pP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 fan sohasini o‘qitish boʻyicha berilgan taʼlimiy vaziyatga oid qabul qilingan qarorlarga baho berish.</w:t>
            </w:r>
          </w:p>
        </w:tc>
        <w:tc>
          <w:tcPr>
            <w:tcW w:w="866" w:type="dxa"/>
            <w:tcBorders>
              <w:top w:val="single" w:sz="4" w:space="0" w:color="000000"/>
              <w:left w:val="single" w:sz="4" w:space="0" w:color="000000"/>
              <w:bottom w:val="single" w:sz="4" w:space="0" w:color="000000"/>
              <w:right w:val="single" w:sz="4" w:space="0" w:color="000000"/>
            </w:tcBorders>
            <w:vAlign w:val="center"/>
          </w:tcPr>
          <w:p w:rsidR="009D6887" w:rsidRDefault="001454CF">
            <w:pPr>
              <w:widowControl w:val="0"/>
              <w:spacing w:after="0"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w:t>
            </w:r>
          </w:p>
        </w:tc>
      </w:tr>
      <w:tr w:rsidR="009D6887" w:rsidTr="00476DC1">
        <w:trPr>
          <w:cantSplit/>
          <w:trHeight w:val="413"/>
        </w:trPr>
        <w:tc>
          <w:tcPr>
            <w:tcW w:w="8647" w:type="dxa"/>
            <w:gridSpan w:val="2"/>
            <w:tcBorders>
              <w:top w:val="single" w:sz="4" w:space="0" w:color="000000"/>
              <w:left w:val="single" w:sz="4" w:space="0" w:color="000000"/>
              <w:bottom w:val="single" w:sz="4" w:space="0" w:color="000000"/>
              <w:right w:val="single" w:sz="4" w:space="0" w:color="000000"/>
            </w:tcBorders>
            <w:vAlign w:val="center"/>
          </w:tcPr>
          <w:p w:rsidR="009D6887" w:rsidRDefault="001454CF">
            <w:pPr>
              <w:spacing w:after="0"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Jami</w:t>
            </w:r>
          </w:p>
        </w:tc>
        <w:tc>
          <w:tcPr>
            <w:tcW w:w="866" w:type="dxa"/>
            <w:tcBorders>
              <w:top w:val="single" w:sz="4" w:space="0" w:color="000000"/>
              <w:left w:val="single" w:sz="4" w:space="0" w:color="000000"/>
              <w:bottom w:val="single" w:sz="4" w:space="0" w:color="000000"/>
              <w:right w:val="single" w:sz="4" w:space="0" w:color="000000"/>
            </w:tcBorders>
            <w:vAlign w:val="center"/>
          </w:tcPr>
          <w:p w:rsidR="009D6887" w:rsidRDefault="001454CF">
            <w:pPr>
              <w:widowControl w:val="0"/>
              <w:spacing w:after="0"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15 ta</w:t>
            </w:r>
          </w:p>
        </w:tc>
      </w:tr>
    </w:tbl>
    <w:p w:rsidR="009D6887" w:rsidRDefault="009D6887">
      <w:pPr>
        <w:spacing w:after="0" w:line="276" w:lineRule="auto"/>
        <w:ind w:firstLine="567"/>
        <w:jc w:val="both"/>
        <w:rPr>
          <w:rFonts w:ascii="Times New Roman" w:eastAsia="Times New Roman" w:hAnsi="Times New Roman" w:cs="Times New Roman"/>
          <w:sz w:val="28"/>
          <w:szCs w:val="28"/>
        </w:rPr>
      </w:pPr>
    </w:p>
    <w:p w:rsidR="009D6887" w:rsidRDefault="001454CF" w:rsidP="00476DC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Kognitiv koʻnikmalar taqsimoti</w:t>
      </w:r>
    </w:p>
    <w:p w:rsidR="009D6887" w:rsidRDefault="001454CF">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e"/>
        <w:tblW w:w="98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307"/>
        <w:gridCol w:w="5271"/>
        <w:gridCol w:w="1488"/>
      </w:tblGrid>
      <w:tr w:rsidR="009D6887">
        <w:trPr>
          <w:trHeight w:val="285"/>
        </w:trPr>
        <w:tc>
          <w:tcPr>
            <w:tcW w:w="812" w:type="dxa"/>
            <w:vAlign w:val="center"/>
          </w:tcPr>
          <w:p w:rsidR="009D6887" w:rsidRDefault="001454CF">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307" w:type="dxa"/>
            <w:vAlign w:val="center"/>
          </w:tcPr>
          <w:p w:rsidR="009D6887" w:rsidRDefault="001454CF">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9D6887" w:rsidRDefault="001454C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488" w:type="dxa"/>
            <w:vAlign w:val="center"/>
          </w:tcPr>
          <w:p w:rsidR="009D6887" w:rsidRDefault="001454CF">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9D6887">
        <w:trPr>
          <w:trHeight w:val="873"/>
        </w:trPr>
        <w:tc>
          <w:tcPr>
            <w:tcW w:w="812" w:type="dxa"/>
            <w:vAlign w:val="center"/>
          </w:tcPr>
          <w:p w:rsidR="009D6887" w:rsidRDefault="001454C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307" w:type="dxa"/>
            <w:vAlign w:val="center"/>
          </w:tcPr>
          <w:p w:rsidR="009D6887" w:rsidRDefault="001454CF">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9D6887" w:rsidRDefault="001454CF">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488" w:type="dxa"/>
            <w:vAlign w:val="center"/>
          </w:tcPr>
          <w:p w:rsidR="009D6887" w:rsidRDefault="001454C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9D6887">
        <w:trPr>
          <w:trHeight w:val="873"/>
        </w:trPr>
        <w:tc>
          <w:tcPr>
            <w:tcW w:w="812" w:type="dxa"/>
            <w:vAlign w:val="center"/>
          </w:tcPr>
          <w:p w:rsidR="009D6887" w:rsidRDefault="001454C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307" w:type="dxa"/>
            <w:vAlign w:val="center"/>
          </w:tcPr>
          <w:p w:rsidR="009D6887" w:rsidRDefault="001454CF">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9D6887" w:rsidRDefault="001454C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488" w:type="dxa"/>
            <w:vAlign w:val="center"/>
          </w:tcPr>
          <w:p w:rsidR="009D6887" w:rsidRDefault="001454C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9D6887">
        <w:trPr>
          <w:trHeight w:val="1158"/>
        </w:trPr>
        <w:tc>
          <w:tcPr>
            <w:tcW w:w="812" w:type="dxa"/>
            <w:vAlign w:val="center"/>
          </w:tcPr>
          <w:p w:rsidR="009D6887" w:rsidRDefault="001454C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307" w:type="dxa"/>
            <w:vAlign w:val="center"/>
          </w:tcPr>
          <w:p w:rsidR="009D6887" w:rsidRDefault="001454CF">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9D6887" w:rsidRDefault="001454CF">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488" w:type="dxa"/>
            <w:vAlign w:val="center"/>
          </w:tcPr>
          <w:p w:rsidR="009D6887" w:rsidRDefault="001454C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9D6887" w:rsidRDefault="009D6887">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9D6887" w:rsidRDefault="001454CF">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9D6887" w:rsidRDefault="001454C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9D6887" w:rsidRDefault="001454CF">
      <w:pPr>
        <w:widowControl w:val="0"/>
        <w:spacing w:before="240" w:after="0" w:line="276" w:lineRule="auto"/>
        <w:ind w:firstLine="567"/>
        <w:jc w:val="center"/>
        <w:rPr>
          <w:rFonts w:ascii="Times New Roman" w:eastAsia="Times New Roman" w:hAnsi="Times New Roman" w:cs="Times New Roman"/>
          <w:b/>
          <w:bCs/>
          <w:sz w:val="28"/>
          <w:szCs w:val="28"/>
        </w:rPr>
      </w:pPr>
      <w:bookmarkStart w:id="1" w:name="_heading=h.gugz4hn4t433" w:colFirst="0" w:colLast="0"/>
      <w:bookmarkEnd w:id="1"/>
      <w:r>
        <w:rPr>
          <w:rFonts w:ascii="Times New Roman" w:eastAsia="Times New Roman" w:hAnsi="Times New Roman" w:cs="Times New Roman"/>
          <w:b/>
          <w:bCs/>
          <w:sz w:val="28"/>
          <w:szCs w:val="28"/>
        </w:rPr>
        <w:t>VI. Imtihon tartibi</w:t>
      </w:r>
    </w:p>
    <w:p w:rsidR="009D6887" w:rsidRDefault="001454C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9D6887" w:rsidRDefault="001454C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9D6887" w:rsidRDefault="001454C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476DC1" w:rsidRDefault="00476DC1" w:rsidP="00476DC1">
      <w:pPr>
        <w:widowControl w:val="0"/>
        <w:pBdr>
          <w:top w:val="nil"/>
          <w:left w:val="nil"/>
          <w:bottom w:val="nil"/>
          <w:right w:val="nil"/>
          <w:between w:val="nil"/>
        </w:pBdr>
        <w:spacing w:after="0" w:line="276" w:lineRule="auto"/>
        <w:rPr>
          <w:rFonts w:ascii="Times New Roman" w:eastAsia="Times New Roman" w:hAnsi="Times New Roman" w:cs="Times New Roman"/>
          <w:color w:val="1F3864"/>
          <w:sz w:val="28"/>
          <w:szCs w:val="28"/>
        </w:rPr>
      </w:pPr>
    </w:p>
    <w:p w:rsidR="009D6887" w:rsidRDefault="001454CF" w:rsidP="00476DC1">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 Tavsiya etiladigan asosiy adabiyotlar</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Informatika va axborot texnologiyalari. 5-sinf. V.Ellis, S.Lawrey, D.Dickinson. “Cambridge University Press”. 2023  </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Informatika va axborot texnologiyalari. 6-sinf. V.Ellis, S.Lawrey, D.Dickinson. “Cambridge University Press”. 2023</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Informatika va axborot texnologiyalari. 7-sinf. V.Ellis, S.Lawrey, </w:t>
      </w:r>
      <w:r>
        <w:rPr>
          <w:rFonts w:ascii="Times New Roman" w:eastAsia="Times New Roman" w:hAnsi="Times New Roman" w:cs="Times New Roman"/>
          <w:sz w:val="28"/>
          <w:szCs w:val="28"/>
        </w:rPr>
        <w:lastRenderedPageBreak/>
        <w:t>D.Dickinson. “Cambridge University Press”. 2023</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Informatika va axborot texnologiyalari. 8-sinf. V.Ellis, S.Lawrey, D.Dickinson. “Cambridge University Press”. 2023</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Informatika va axborot texnologiyalari. 9-sinf. V.Wright, D.Taylor. “Cambridge University Press”. 2023</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Informatika va axborot texnologiyalari. 10-11-sinf. P.Long, S.Lawrey, V.Ellis. “Cambridge University Press”. 2023 </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Informatika va axborot texnologiyalari. 5-sinf. D.Kamaltdinova. “Nashriyot uyi tasvir”. 2020</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Informatika va axborot texnologiyalari. 6-sinf. F.Fayziyeva, D.Sayfurov va b. “Respublika ta’lim markazi”. 2021</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Informatika va axborot texnologiyalari. 7-sinf. F.Fayziyeva, D.Sayfurov va b. “Respublika ta’lim markazi”. 2021</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Informatika va axborot texnologiyalari. 8-sinf. M.Fayziyeva. “Nashriyot uyi tasvir”. 2020 </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Informatika va axborot texnologiyalari. 9-sinf. M.Fayziyeva. “Nashriyot uyi tasvir”. 2020</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Informatika va axborot texnologiyalari. 10-sinf. F.Fayziyeva, D.Sayfurov va b. “Respublika ta’lim markazi”. 2021</w:t>
      </w:r>
    </w:p>
    <w:p w:rsidR="009D6887" w:rsidRDefault="001454C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Informatika va axborot texnologiyalari. 11-sinf. N.Xaytullayeva, F.Fayziyeva va b. “Respublika ta’lim markazi”. 2021</w:t>
      </w:r>
    </w:p>
    <w:p w:rsidR="009D6887" w:rsidRDefault="009D6887">
      <w:pPr>
        <w:widowControl w:val="0"/>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rsidR="009D6887" w:rsidRDefault="001454CF" w:rsidP="001C1905">
      <w:pPr>
        <w:widowControl w:val="0"/>
        <w:spacing w:after="0" w:line="276" w:lineRule="auto"/>
        <w:ind w:firstLine="567"/>
        <w:jc w:val="center"/>
        <w:rPr>
          <w:rFonts w:ascii="Times New Roman" w:eastAsia="Times New Roman" w:hAnsi="Times New Roman" w:cs="Times New Roman"/>
          <w:b/>
          <w:bCs/>
          <w:color w:val="000000"/>
          <w:sz w:val="28"/>
          <w:szCs w:val="28"/>
        </w:rPr>
      </w:pPr>
      <w:bookmarkStart w:id="2" w:name="_GoBack"/>
      <w:bookmarkEnd w:id="2"/>
      <w:r>
        <w:rPr>
          <w:rFonts w:ascii="Times New Roman" w:eastAsia="Times New Roman" w:hAnsi="Times New Roman" w:cs="Times New Roman"/>
          <w:b/>
          <w:bCs/>
          <w:color w:val="000000"/>
          <w:sz w:val="28"/>
          <w:szCs w:val="28"/>
          <w:highlight w:val="white"/>
        </w:rPr>
        <w:t xml:space="preserve">VII. </w:t>
      </w:r>
      <w:r>
        <w:rPr>
          <w:rFonts w:ascii="Times New Roman" w:eastAsia="Times New Roman" w:hAnsi="Times New Roman" w:cs="Times New Roman"/>
          <w:b/>
          <w:bCs/>
          <w:color w:val="000000"/>
          <w:sz w:val="28"/>
          <w:szCs w:val="28"/>
        </w:rPr>
        <w:t>Pedagogik mahorat bo‘yicha manbalar</w:t>
      </w:r>
    </w:p>
    <w:p w:rsidR="009D6887" w:rsidRDefault="001454CF">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9D6887" w:rsidRDefault="001454CF">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9D6887" w:rsidRDefault="001454CF">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“Innovatsiya-ziyo” nashriyoti, 2019. – 276 b.</w:t>
      </w:r>
    </w:p>
    <w:p w:rsidR="009D6887" w:rsidRDefault="001454CF">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Umumiy o‘rta ta’lim maktab o‘qituvchisi kasb standarti.</w:t>
      </w:r>
    </w:p>
    <w:p w:rsidR="009D6887" w:rsidRDefault="001454CF">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Mamarajabov M.E va boshq. Informatika o‘qitish metodikasi. Darslik.  – Toshkent: Bookmany print, 2023. – 460 b.</w:t>
      </w:r>
    </w:p>
    <w:p w:rsidR="009D6887" w:rsidRDefault="009D6887">
      <w:pPr>
        <w:spacing w:after="0"/>
        <w:ind w:left="360"/>
        <w:jc w:val="both"/>
        <w:rPr>
          <w:rFonts w:ascii="Times New Roman" w:eastAsia="Times New Roman" w:hAnsi="Times New Roman" w:cs="Times New Roman"/>
          <w:b/>
          <w:bCs/>
          <w:sz w:val="28"/>
          <w:szCs w:val="28"/>
        </w:rPr>
      </w:pPr>
    </w:p>
    <w:p w:rsidR="009D6887" w:rsidRDefault="001454CF">
      <w:pPr>
        <w:spacing w:after="0"/>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Normativ-huquqiy asoslar</w:t>
      </w:r>
    </w:p>
    <w:p w:rsidR="009D6887" w:rsidRDefault="001454CF">
      <w:pPr>
        <w:numPr>
          <w:ilvl w:val="0"/>
          <w:numId w:val="2"/>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“Taʼlim toʻgʻrisida”gi Qonuni. 2020.</w:t>
      </w:r>
    </w:p>
    <w:p w:rsidR="009D6887" w:rsidRDefault="001454CF">
      <w:pPr>
        <w:numPr>
          <w:ilvl w:val="0"/>
          <w:numId w:val="2"/>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“Pedagogning maqomi toʻgʻrisida”gi Qonuni. 2024.</w:t>
      </w:r>
    </w:p>
    <w:p w:rsidR="009D6887" w:rsidRDefault="009D6887">
      <w:pPr>
        <w:spacing w:after="0"/>
        <w:ind w:left="360"/>
        <w:rPr>
          <w:rFonts w:ascii="Times New Roman" w:eastAsia="Times New Roman" w:hAnsi="Times New Roman" w:cs="Times New Roman"/>
          <w:sz w:val="28"/>
          <w:szCs w:val="28"/>
        </w:rPr>
      </w:pPr>
    </w:p>
    <w:p w:rsidR="009D6887" w:rsidRDefault="001454CF">
      <w:pPr>
        <w:spacing w:after="24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 xml:space="preserve">test topshiriqlari mazmuni tavsiya etilgan adabiyotlarda aks etgan mazmun, tamoyil va yondashuvlar bilan moslashtiriladi, ammo test topshiriqlari toʻgʻridan toʻgʻri manbalardan olinmaydi. Sinovga tayyorgarlik koʻrish jarayonida tavsiya etilgan </w:t>
      </w:r>
      <w:r>
        <w:rPr>
          <w:rFonts w:ascii="Times New Roman" w:eastAsia="Times New Roman" w:hAnsi="Times New Roman" w:cs="Times New Roman"/>
          <w:i/>
          <w:iCs/>
          <w:sz w:val="26"/>
          <w:szCs w:val="26"/>
        </w:rPr>
        <w:lastRenderedPageBreak/>
        <w:t>adabiyotlar eslab qolish manbai sifatida xizmat qilishdan koʻra, umumiy kasbiy tayyorgarlikni mustahkamlashga qaratilgan.</w:t>
      </w:r>
    </w:p>
    <w:p w:rsidR="009D6887" w:rsidRDefault="001454CF" w:rsidP="00476DC1">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4"/>
          <w:szCs w:val="24"/>
        </w:rPr>
        <w:t>*Eslatma:</w:t>
      </w:r>
      <w:r>
        <w:rPr>
          <w:rFonts w:ascii="Times New Roman" w:eastAsia="Times New Roman" w:hAnsi="Times New Roman" w:cs="Times New Roman"/>
          <w:i/>
          <w:iCs/>
          <w:sz w:val="24"/>
          <w:szCs w:val="24"/>
        </w:rPr>
        <w:t xml:space="preserve"> test topshiriqlari mazmuni tavsiya etilgan adabiyotlarda aks etgan mazmun, tamoyil va yondashuvlar bilan moslashtiriladi, ammo test topshiriqlari to‘g‘ridan to‘g‘ri manbalardan olinmaydi. Malaka sinoviga tayyorgarlik ko‘rish jarayonida tavsiya etilgan adabiyotlar eslab qolish manbai sifatida xizmat qilishdan ko‘ra, umumiy kasbiy tayyorgarlikni mustahkamlashga qaratilgan.</w:t>
      </w:r>
    </w:p>
    <w:p w:rsidR="009D6887" w:rsidRDefault="009D68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9D6887" w:rsidRDefault="009D68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9D6887" w:rsidRDefault="009D68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9D6887" w:rsidRDefault="009D6887"/>
    <w:sectPr w:rsidR="009D6887">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51E" w:rsidRDefault="00C4051E">
      <w:pPr>
        <w:spacing w:after="0" w:line="240" w:lineRule="auto"/>
      </w:pPr>
      <w:r>
        <w:separator/>
      </w:r>
    </w:p>
  </w:endnote>
  <w:endnote w:type="continuationSeparator" w:id="0">
    <w:p w:rsidR="00C4051E" w:rsidRDefault="00C40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03BCE38-D888-4890-BB72-D65467023D57}"/>
    <w:embedBold r:id="rId2" w:fontKey="{BEBA8E11-2301-4B1A-931F-D14F43639035}"/>
  </w:font>
  <w:font w:name="Georgia">
    <w:panose1 w:val="02040502050405020303"/>
    <w:charset w:val="CC"/>
    <w:family w:val="roman"/>
    <w:pitch w:val="variable"/>
    <w:sig w:usb0="00000287" w:usb1="00000000" w:usb2="00000000" w:usb3="00000000" w:csb0="0000009F" w:csb1="00000000"/>
    <w:embedItalic r:id="rId3" w:fontKey="{7F808747-329B-4E6E-A730-C285A2526C09}"/>
  </w:font>
  <w:font w:name="Calibri Light">
    <w:panose1 w:val="020F0302020204030204"/>
    <w:charset w:val="CC"/>
    <w:family w:val="swiss"/>
    <w:pitch w:val="variable"/>
    <w:sig w:usb0="E4002EFF" w:usb1="C200247B" w:usb2="00000009" w:usb3="00000000" w:csb0="000001FF" w:csb1="00000000"/>
    <w:embedRegular r:id="rId4" w:fontKey="{C80D830F-005A-4BE1-A633-A235FD90853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51E" w:rsidRDefault="00C4051E">
      <w:pPr>
        <w:spacing w:after="0" w:line="240" w:lineRule="auto"/>
      </w:pPr>
      <w:r>
        <w:separator/>
      </w:r>
    </w:p>
  </w:footnote>
  <w:footnote w:type="continuationSeparator" w:id="0">
    <w:p w:rsidR="00C4051E" w:rsidRDefault="00C40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887" w:rsidRDefault="009D688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B7A"/>
    <w:multiLevelType w:val="multilevel"/>
    <w:tmpl w:val="F61E6F52"/>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C47360D"/>
    <w:multiLevelType w:val="multilevel"/>
    <w:tmpl w:val="9F8A0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887"/>
    <w:rsid w:val="000E07D8"/>
    <w:rsid w:val="00127E2F"/>
    <w:rsid w:val="001454CF"/>
    <w:rsid w:val="001C1905"/>
    <w:rsid w:val="00476DC1"/>
    <w:rsid w:val="009D6887"/>
    <w:rsid w:val="00C40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893A3"/>
  <w15:docId w15:val="{AEC1AED4-9BC4-48AF-BE5E-0E258701A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rmal (Web)"/>
    <w:uiPriority w:val="99"/>
    <w:unhideWhenUsed/>
    <w:rsid w:val="00130124"/>
    <w:pPr>
      <w:spacing w:before="100" w:beforeAutospacing="1" w:after="100" w:afterAutospacing="1" w:line="240" w:lineRule="auto"/>
    </w:pPr>
    <w:rPr>
      <w:rFonts w:eastAsia="Times New Roman"/>
      <w:sz w:val="24"/>
      <w:szCs w:val="24"/>
      <w:lang w:val="uz-Latn-UZ"/>
    </w:rPr>
  </w:style>
  <w:style w:type="character" w:customStyle="1" w:styleId="a5">
    <w:name w:val="Основной текст Знак"/>
    <w:link w:val="a6"/>
    <w:uiPriority w:val="99"/>
    <w:locked/>
    <w:rsid w:val="00130124"/>
    <w:rPr>
      <w:sz w:val="25"/>
      <w:szCs w:val="25"/>
      <w:shd w:val="clear" w:color="auto" w:fill="FFFFFF"/>
    </w:rPr>
  </w:style>
  <w:style w:type="paragraph" w:styleId="a6">
    <w:name w:val="Body Text"/>
    <w:link w:val="a5"/>
    <w:uiPriority w:val="99"/>
    <w:rsid w:val="00130124"/>
    <w:pPr>
      <w:widowControl w:val="0"/>
      <w:shd w:val="clear" w:color="auto" w:fill="FFFFFF"/>
      <w:spacing w:before="480" w:after="0" w:line="303" w:lineRule="exact"/>
      <w:jc w:val="both"/>
    </w:pPr>
    <w:rPr>
      <w:rFonts w:ascii="Times New Roman" w:eastAsiaTheme="minorHAnsi" w:hAnsi="Times New Roman" w:cs="Times New Roman"/>
      <w:sz w:val="25"/>
      <w:szCs w:val="25"/>
      <w:lang w:val="en-US"/>
    </w:rPr>
  </w:style>
  <w:style w:type="character" w:customStyle="1" w:styleId="10">
    <w:name w:val="Основной текст Знак1"/>
    <w:basedOn w:val="a0"/>
    <w:uiPriority w:val="99"/>
    <w:semiHidden/>
    <w:rsid w:val="00130124"/>
    <w:rPr>
      <w:rFonts w:ascii="Calibri" w:eastAsia="Calibri" w:hAnsi="Calibri" w:cs="Calibri"/>
      <w:sz w:val="22"/>
      <w:lang w:val="uz-Latn-UZ"/>
    </w:rPr>
  </w:style>
  <w:style w:type="paragraph" w:styleId="a7">
    <w:name w:val="List Paragraph"/>
    <w:uiPriority w:val="34"/>
    <w:qFormat/>
    <w:rsid w:val="00C40526"/>
    <w:pPr>
      <w:ind w:left="720"/>
      <w:contextualSpacing/>
    </w:p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paragraph" w:styleId="a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138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kDi34FmeImhnSF4XXPLt/z5Gg==">CgMxLjAyDmgudXkxcHVmcmFoenliMg5oLmd1Z3o0aG40dDQzMzgAciExSVRfdkhVV0tpN2t4djRYVk43cEx4LV93Sm9lM1NtQWQ=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2427</Words>
  <Characters>13837</Characters>
  <Application>Microsoft Office Word</Application>
  <DocSecurity>0</DocSecurity>
  <Lines>115</Lines>
  <Paragraphs>32</Paragraphs>
  <ScaleCrop>false</ScaleCrop>
  <Company>SPecialiST RePack</Company>
  <LinksUpToDate>false</LinksUpToDate>
  <CharactersWithSpaces>16232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2026-03-16T05:50:00Z</dcterms:created>
  <dcterms:modified xsi:type="dcterms:W3CDTF">2026-04-08T06:09:00Z</dcterms:modified>
</cp:coreProperties>
</file>