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firstLine="567"/>
        <w:jc w:val="center"/>
        <w:rPr>
          <w:rFonts w:ascii="Arial" w:cs="Arial" w:eastAsia="Arial" w:hAnsi="Arial"/>
          <w:b w:val="1"/>
          <w:color w:val="c00000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rtl w:val="0"/>
        </w:rPr>
        <w:t xml:space="preserve">CSR ҳамда ESG тамойили бўйича ҳисоботни шакллантириш ва ошкор қилиш амалиётини жорий қилиш бўйича тавсия этиладиган 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c00000"/>
          <w:rtl w:val="0"/>
        </w:rPr>
        <w:t xml:space="preserve">ЧОРА-ТАДБИРЛАР</w:t>
      </w:r>
    </w:p>
    <w:p w:rsidR="00000000" w:rsidDel="00000000" w:rsidP="00000000" w:rsidRDefault="00000000" w:rsidRPr="00000000" w14:paraId="00000002">
      <w:pPr>
        <w:spacing w:after="0" w:lineRule="auto"/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 CSR ҳамда ESG тамойилларини корхонада жорий этиш бўйича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«йўл харитасини» тасдиқлаш</w:t>
      </w:r>
      <w:r w:rsidDel="00000000" w:rsidR="00000000" w:rsidRPr="00000000">
        <w:rPr>
          <w:rFonts w:ascii="Arial" w:cs="Arial" w:eastAsia="Arial" w:hAnsi="Arial"/>
          <w:rtl w:val="0"/>
        </w:rPr>
        <w:t xml:space="preserve">. Бунда: </w:t>
      </w:r>
    </w:p>
    <w:p w:rsidR="00000000" w:rsidDel="00000000" w:rsidP="00000000" w:rsidRDefault="00000000" w:rsidRPr="00000000" w14:paraId="00000004">
      <w:pPr>
        <w:spacing w:after="80" w:lineRule="auto"/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корхона томонидан CSR ҳамда ESG тамойилларини назарда тутувчи, корхоналарнинг ўрта ва узоқ муддатли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стратегияларини ишлаб</w:t>
      </w:r>
      <w:r w:rsidDel="00000000" w:rsidR="00000000" w:rsidRPr="00000000">
        <w:rPr>
          <w:rFonts w:ascii="Arial" w:cs="Arial" w:eastAsia="Arial" w:hAnsi="Arial"/>
          <w:rtl w:val="0"/>
        </w:rPr>
        <w:t xml:space="preserve"> чиқиш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(заруратга қараб, манфаатдор вазирлик ва идоралар</w:t>
      </w:r>
      <w:r w:rsidDel="00000000" w:rsidR="00000000" w:rsidRPr="00000000">
        <w:rPr>
          <w:rFonts w:ascii="Arial" w:cs="Arial" w:eastAsia="Arial" w:hAnsi="Arial"/>
          <w:i w:val="1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билан келишилган ҳолда) </w:t>
      </w:r>
      <w:r w:rsidDel="00000000" w:rsidR="00000000" w:rsidRPr="00000000">
        <w:rPr>
          <w:rFonts w:ascii="Arial" w:cs="Arial" w:eastAsia="Arial" w:hAnsi="Arial"/>
          <w:rtl w:val="0"/>
        </w:rPr>
        <w:t xml:space="preserve">ва бошқарув органларида тасдиқлаш; </w:t>
      </w:r>
    </w:p>
    <w:p w:rsidR="00000000" w:rsidDel="00000000" w:rsidP="00000000" w:rsidRDefault="00000000" w:rsidRPr="00000000" w14:paraId="00000005">
      <w:pPr>
        <w:spacing w:after="0" w:lineRule="auto"/>
        <w:ind w:firstLine="567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Корхонада CSR ва ESG стратегиясининг ижросини мониторинг қилиш, ҳисоботларни шакллаштириш ва белгиланган тартибда ошкор этиш бўйича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масъул бўлинмани белгилаш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CSR ва ESG тамойилларини назарда тутувчи стратегиялар ижроси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ҳолатини ҳар чорак якуни бўйича кузатув кенгаши</w:t>
      </w:r>
      <w:r w:rsidDel="00000000" w:rsidR="00000000" w:rsidRPr="00000000">
        <w:rPr>
          <w:rFonts w:ascii="Arial" w:cs="Arial" w:eastAsia="Arial" w:hAnsi="Arial"/>
          <w:rtl w:val="0"/>
        </w:rPr>
        <w:t xml:space="preserve"> мажлисларида эшитиб бориш ҳамда йил якуни бўйича ҳисоботни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акциядорлар умумий йиғилиши</w:t>
      </w:r>
      <w:r w:rsidDel="00000000" w:rsidR="00000000" w:rsidRPr="00000000">
        <w:rPr>
          <w:rFonts w:ascii="Arial" w:cs="Arial" w:eastAsia="Arial" w:hAnsi="Arial"/>
          <w:rtl w:val="0"/>
        </w:rPr>
        <w:t xml:space="preserve"> муҳокамасига киритиш ва бошқалар.</w:t>
      </w:r>
    </w:p>
    <w:p w:rsidR="00000000" w:rsidDel="00000000" w:rsidP="00000000" w:rsidRDefault="00000000" w:rsidRPr="00000000" w14:paraId="00000007">
      <w:pPr>
        <w:spacing w:after="0" w:lineRule="auto"/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 Корхона томонидан тақдим қилинаётган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маълумотларнинг ҳаққонийлигини таъминлаш</w:t>
      </w:r>
      <w:r w:rsidDel="00000000" w:rsidR="00000000" w:rsidRPr="00000000">
        <w:rPr>
          <w:rFonts w:ascii="Arial" w:cs="Arial" w:eastAsia="Arial" w:hAnsi="Arial"/>
          <w:rtl w:val="0"/>
        </w:rPr>
        <w:t xml:space="preserve"> мақсадида, ҳисоботлар мустақил аудит текширувидан ўтказилишини белгилаш.</w:t>
      </w:r>
    </w:p>
    <w:p w:rsidR="00000000" w:rsidDel="00000000" w:rsidP="00000000" w:rsidRDefault="00000000" w:rsidRPr="00000000" w14:paraId="00000008">
      <w:pPr>
        <w:spacing w:after="0" w:lineRule="auto"/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 Ҳисоботлар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жамоатчилик,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салохиятли инвесторлар ва бошқа манфаатдор томонлар учун</w:t>
      </w:r>
      <w:r w:rsidDel="00000000" w:rsidR="00000000" w:rsidRPr="00000000">
        <w:rPr>
          <w:rFonts w:ascii="Arial" w:cs="Arial" w:eastAsia="Arial" w:hAnsi="Arial"/>
          <w:rtl w:val="0"/>
        </w:rPr>
        <w:t xml:space="preserve"> мавжуд бўлишини таъминлаш мақсадида улар корхоналарнинг расмий веб-сайтларида, Корпоратив ахборот ягона порталида ҳамда Давлат активларини бошқариш агентлигининг махсус тизимида жойлаштирилишини белгилаш (ҳисобот шакли илова қилинади).</w:t>
      </w:r>
    </w:p>
    <w:p w:rsidR="00000000" w:rsidDel="00000000" w:rsidP="00000000" w:rsidRDefault="00000000" w:rsidRPr="00000000" w14:paraId="00000009">
      <w:pPr>
        <w:spacing w:after="0" w:lineRule="auto"/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 Ҳисоботларни юқорида қайд этилган интернет манбаларида ва белгиланган муддатларда жойлаштирилишини назорат қилиб бориш вазифасини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комплаенс (ёки ички аудит) хизмати</w:t>
      </w:r>
      <w:r w:rsidDel="00000000" w:rsidR="00000000" w:rsidRPr="00000000">
        <w:rPr>
          <w:rFonts w:ascii="Arial" w:cs="Arial" w:eastAsia="Arial" w:hAnsi="Arial"/>
          <w:rtl w:val="0"/>
        </w:rPr>
        <w:t xml:space="preserve"> зиммасига юклаш.</w:t>
      </w:r>
    </w:p>
    <w:p w:rsidR="00000000" w:rsidDel="00000000" w:rsidP="00000000" w:rsidRDefault="00000000" w:rsidRPr="00000000" w14:paraId="0000000A">
      <w:pPr>
        <w:spacing w:after="80" w:lineRule="auto"/>
        <w:ind w:firstLine="567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80" w:lineRule="auto"/>
        <w:ind w:firstLine="567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80" w:lineRule="auto"/>
        <w:ind w:firstLine="567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80" w:lineRule="auto"/>
        <w:ind w:firstLine="567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80" w:lineRule="auto"/>
        <w:ind w:firstLine="567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80" w:lineRule="auto"/>
        <w:ind w:firstLine="567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80" w:lineRule="auto"/>
        <w:ind w:firstLine="567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rtl w:val="0"/>
        </w:rPr>
        <w:t xml:space="preserve">Корпоратив ижтимоий масъулият (CSR) ва экологик, ижтимоий ва корпоратив бошқарув (ESG) бўйича 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c00000"/>
          <w:rtl w:val="0"/>
        </w:rPr>
        <w:t xml:space="preserve">намунавий ҳисобот шакли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567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Ҳисоботнинг кириш қисми</w:t>
      </w:r>
    </w:p>
    <w:p w:rsidR="00000000" w:rsidDel="00000000" w:rsidP="00000000" w:rsidRDefault="00000000" w:rsidRPr="00000000" w14:paraId="00000014">
      <w:pPr>
        <w:ind w:firstLine="567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Мазкур бўлимда ҳисобот йилида жамиятнинг корпоратив ижтимоий масъулият (CSR) соҳасида ҳамда ESG (Environmental, Social, Governance) тамойиллари асосида амалга оширилган чора-тадбирлари, жамиятнинг ушбу йўналишдаги режалари ва олдида турган мақсадлари тўғрисидаги умумий ахборот келтирилади.</w:t>
      </w:r>
    </w:p>
    <w:p w:rsidR="00000000" w:rsidDel="00000000" w:rsidP="00000000" w:rsidRDefault="00000000" w:rsidRPr="00000000" w14:paraId="00000015">
      <w:pPr>
        <w:ind w:firstLine="567"/>
        <w:jc w:val="both"/>
        <w:rPr>
          <w:rFonts w:ascii="Arial" w:cs="Arial" w:eastAsia="Arial" w:hAnsi="Arial"/>
          <w:b w:val="1"/>
          <w:color w:val="0070c0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rtl w:val="0"/>
        </w:rPr>
        <w:t xml:space="preserve">I. Жамият тўғрисидаги асосий маълумотлар</w:t>
      </w:r>
    </w:p>
    <w:p w:rsidR="00000000" w:rsidDel="00000000" w:rsidP="00000000" w:rsidRDefault="00000000" w:rsidRPr="00000000" w14:paraId="00000016">
      <w:pPr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1.1. Жамият фаолияти тўғрисида</w:t>
      </w:r>
    </w:p>
    <w:p w:rsidR="00000000" w:rsidDel="00000000" w:rsidP="00000000" w:rsidRDefault="00000000" w:rsidRPr="00000000" w14:paraId="00000017">
      <w:pPr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1.2. Стратегик мақсадлар ва корпоратив ижтимоий масъулият тамойиллари</w:t>
      </w:r>
    </w:p>
    <w:p w:rsidR="00000000" w:rsidDel="00000000" w:rsidP="00000000" w:rsidRDefault="00000000" w:rsidRPr="00000000" w14:paraId="00000018">
      <w:pPr>
        <w:ind w:firstLine="567"/>
        <w:jc w:val="both"/>
        <w:rPr>
          <w:rFonts w:ascii="Arial" w:cs="Arial" w:eastAsia="Arial" w:hAnsi="Arial"/>
          <w:b w:val="1"/>
          <w:color w:val="0070c0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rtl w:val="0"/>
        </w:rPr>
        <w:t xml:space="preserve">II. Жамиятнинг барқарор ривожланиш стратегияси (CSR ва ESG) тўғрисидаги маълумотлар:</w:t>
      </w:r>
    </w:p>
    <w:p w:rsidR="00000000" w:rsidDel="00000000" w:rsidP="00000000" w:rsidRDefault="00000000" w:rsidRPr="00000000" w14:paraId="00000019">
      <w:pPr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Стратегиянинг асосий жиҳатлари, стратегия дорирасида амалга оширилиши кўзда тутилган ижтимоий ва экологик масалалар ва мақсадлар. Шу жумладан:</w:t>
      </w:r>
    </w:p>
    <w:p w:rsidR="00000000" w:rsidDel="00000000" w:rsidP="00000000" w:rsidRDefault="00000000" w:rsidRPr="00000000" w14:paraId="0000001A">
      <w:pPr>
        <w:ind w:firstLine="567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2.1. Атроф-муҳит, экология (Environmental):</w:t>
      </w:r>
    </w:p>
    <w:p w:rsidR="00000000" w:rsidDel="00000000" w:rsidP="00000000" w:rsidRDefault="00000000" w:rsidRPr="00000000" w14:paraId="0000001B">
      <w:pPr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2.1.1. Атроф муҳитга зарарли таъсирни қисқартириш;</w:t>
      </w:r>
    </w:p>
    <w:p w:rsidR="00000000" w:rsidDel="00000000" w:rsidP="00000000" w:rsidRDefault="00000000" w:rsidRPr="00000000" w14:paraId="0000001C">
      <w:pPr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2.1.2. Экологик тоза технологиялар ва материаллардан фойдаланиш;</w:t>
      </w:r>
    </w:p>
    <w:p w:rsidR="00000000" w:rsidDel="00000000" w:rsidP="00000000" w:rsidRDefault="00000000" w:rsidRPr="00000000" w14:paraId="0000001D">
      <w:pPr>
        <w:ind w:firstLine="567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2.2. Ижтимоий масъулият (Social):</w:t>
      </w:r>
    </w:p>
    <w:p w:rsidR="00000000" w:rsidDel="00000000" w:rsidP="00000000" w:rsidRDefault="00000000" w:rsidRPr="00000000" w14:paraId="0000001E">
      <w:pPr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2.2.1. Ходимлар хавфсизлиги ва соғлигини таъминлаш дастури;</w:t>
      </w:r>
    </w:p>
    <w:p w:rsidR="00000000" w:rsidDel="00000000" w:rsidP="00000000" w:rsidRDefault="00000000" w:rsidRPr="00000000" w14:paraId="0000001F">
      <w:pPr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2.2.2. Ижтимоий лойиҳалар ва ҳомийлик хайрияларида иштирок;</w:t>
      </w:r>
    </w:p>
    <w:p w:rsidR="00000000" w:rsidDel="00000000" w:rsidP="00000000" w:rsidRDefault="00000000" w:rsidRPr="00000000" w14:paraId="00000020">
      <w:pPr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2.2.3. Ҳисоботга тааллуқли масалалар бўйича манфаатдор томонлар билан келишувлар</w:t>
      </w:r>
    </w:p>
    <w:p w:rsidR="00000000" w:rsidDel="00000000" w:rsidP="00000000" w:rsidRDefault="00000000" w:rsidRPr="00000000" w14:paraId="00000021">
      <w:pPr>
        <w:ind w:firstLine="567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2.3. Корпоратив бошқарув (Governance):</w:t>
      </w:r>
    </w:p>
    <w:p w:rsidR="00000000" w:rsidDel="00000000" w:rsidP="00000000" w:rsidRDefault="00000000" w:rsidRPr="00000000" w14:paraId="00000022">
      <w:pPr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2.3.1. Корпоратив бошқарув қоидалари (Кодекси)га риоя қилиш ҳолати;</w:t>
      </w:r>
    </w:p>
    <w:p w:rsidR="00000000" w:rsidDel="00000000" w:rsidP="00000000" w:rsidRDefault="00000000" w:rsidRPr="00000000" w14:paraId="00000023">
      <w:pPr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2.3.2. Корпоратив бошқарув ва жамият фаолиятида ошкораликни таъминлаш;</w:t>
      </w:r>
    </w:p>
    <w:p w:rsidR="00000000" w:rsidDel="00000000" w:rsidP="00000000" w:rsidRDefault="00000000" w:rsidRPr="00000000" w14:paraId="00000024">
      <w:pPr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2.3.3. Этик стандартлар ҳамда коррупцияга қарши курашиш сиёсати;</w:t>
      </w:r>
    </w:p>
    <w:p w:rsidR="00000000" w:rsidDel="00000000" w:rsidP="00000000" w:rsidRDefault="00000000" w:rsidRPr="00000000" w14:paraId="00000025">
      <w:pPr>
        <w:ind w:firstLine="567"/>
        <w:jc w:val="both"/>
        <w:rPr>
          <w:rFonts w:ascii="Arial" w:cs="Arial" w:eastAsia="Arial" w:hAnsi="Arial"/>
        </w:rPr>
      </w:pPr>
      <w:bookmarkStart w:colFirst="0" w:colLast="0" w:name="_qyoiiww92f3p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2.3.4. Стейкхолдерлар (жамият фаолиятидан манфаатдор шахслар) билан адолатли муносабатлар ўрнатиш. </w:t>
      </w:r>
    </w:p>
    <w:p w:rsidR="00000000" w:rsidDel="00000000" w:rsidP="00000000" w:rsidRDefault="00000000" w:rsidRPr="00000000" w14:paraId="00000026">
      <w:pPr>
        <w:ind w:firstLine="567"/>
        <w:jc w:val="both"/>
        <w:rPr>
          <w:rFonts w:ascii="Arial" w:cs="Arial" w:eastAsia="Arial" w:hAnsi="Arial"/>
          <w:b w:val="1"/>
          <w:color w:val="0070c0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rtl w:val="0"/>
        </w:rPr>
        <w:t xml:space="preserve">III. Ютуқ ва натижалар:</w:t>
      </w:r>
    </w:p>
    <w:p w:rsidR="00000000" w:rsidDel="00000000" w:rsidP="00000000" w:rsidRDefault="00000000" w:rsidRPr="00000000" w14:paraId="00000027">
      <w:pPr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3.1. CSR ва ESG стратегияларни амалга ошириш кўрсаткичлари;</w:t>
      </w:r>
    </w:p>
    <w:p w:rsidR="00000000" w:rsidDel="00000000" w:rsidP="00000000" w:rsidRDefault="00000000" w:rsidRPr="00000000" w14:paraId="00000028">
      <w:pPr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3.2. Корпоратив ижтимоий масъулият доирасида амалга оширилган лойиҳалар ва ташаббуслар;</w:t>
      </w:r>
    </w:p>
    <w:p w:rsidR="00000000" w:rsidDel="00000000" w:rsidP="00000000" w:rsidRDefault="00000000" w:rsidRPr="00000000" w14:paraId="00000029">
      <w:pPr>
        <w:ind w:firstLine="567"/>
        <w:jc w:val="both"/>
        <w:rPr>
          <w:rFonts w:ascii="Arial" w:cs="Arial" w:eastAsia="Arial" w:hAnsi="Arial"/>
          <w:b w:val="1"/>
          <w:color w:val="0070c0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rtl w:val="0"/>
        </w:rPr>
        <w:t xml:space="preserve">IV. Қийинчиликлар ва истиқболлар:</w:t>
      </w:r>
    </w:p>
    <w:p w:rsidR="00000000" w:rsidDel="00000000" w:rsidP="00000000" w:rsidRDefault="00000000" w:rsidRPr="00000000" w14:paraId="0000002A">
      <w:pPr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4.1. Жамият фаолиятида юзага келган муаммолар ва  қийинчиликлар таҳлили;</w:t>
      </w:r>
    </w:p>
    <w:p w:rsidR="00000000" w:rsidDel="00000000" w:rsidP="00000000" w:rsidRDefault="00000000" w:rsidRPr="00000000" w14:paraId="0000002B">
      <w:pPr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4.2. Жамиятнинг CSR ва ESG йўналишлардаги фаолиятини яхшилаш ва ривожлантириш.</w:t>
      </w:r>
    </w:p>
    <w:p w:rsidR="00000000" w:rsidDel="00000000" w:rsidP="00000000" w:rsidRDefault="00000000" w:rsidRPr="00000000" w14:paraId="0000002C">
      <w:pPr>
        <w:ind w:firstLine="567"/>
        <w:jc w:val="both"/>
        <w:rPr>
          <w:rFonts w:ascii="Arial" w:cs="Arial" w:eastAsia="Arial" w:hAnsi="Arial"/>
          <w:b w:val="1"/>
          <w:color w:val="0070c0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rtl w:val="0"/>
        </w:rPr>
        <w:t xml:space="preserve">V. Хулоса:</w:t>
      </w:r>
    </w:p>
    <w:p w:rsidR="00000000" w:rsidDel="00000000" w:rsidP="00000000" w:rsidRDefault="00000000" w:rsidRPr="00000000" w14:paraId="0000002D">
      <w:pPr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Асосий хулосалар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88900</wp:posOffset>
                </wp:positionV>
                <wp:extent cx="6415431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138285" y="3776343"/>
                          <a:ext cx="6415431" cy="731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88900</wp:posOffset>
                </wp:positionV>
                <wp:extent cx="6415431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5431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shd w:fill="e2efd9" w:val="clear"/>
        <w:ind w:firstLine="567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Мазкур ҳисоботни Глобал ташаббускорлик ҳисоботи (Gloval Reporting Initiatives,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GRI)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асосида ишлаб чиқиш ва эълон қилиш тавсия этилади.</w:t>
      </w:r>
    </w:p>
    <w:p w:rsidR="00000000" w:rsidDel="00000000" w:rsidP="00000000" w:rsidRDefault="00000000" w:rsidRPr="00000000" w14:paraId="00000031">
      <w:pPr>
        <w:shd w:fill="e2efd9" w:val="clear"/>
        <w:ind w:firstLine="567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Ҳисобот шакли жамиятнинг хусусиятларига қараб ўзгартирилиши лозим.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134" w:left="1701" w:right="850" w:header="426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Ижтимоий масалаларни Ижтимоий ҳимоя миллий агентлиги билан, экологик масалаларни (СО2 эмиссиясини қисқартириш, чиқиндиларни бошқариш ва ҳк) Экология, атроф-муҳитни муҳофаза қилиш ва иқлим ўзгариши вазирлиги билан.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uz-Cyrl-U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