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E51679" w14:textId="184703C9" w:rsidR="00D11C64" w:rsidRPr="000D18A5" w:rsidRDefault="00D11C64" w:rsidP="000D18A5">
      <w:pPr>
        <w:spacing w:after="0" w:line="240" w:lineRule="auto"/>
        <w:rPr>
          <w:rFonts w:ascii="Times New Roman" w:hAnsi="Times New Roman" w:cs="Times New Roman"/>
          <w:b/>
          <w:sz w:val="28"/>
          <w:lang w:val="en-US"/>
        </w:rPr>
      </w:pPr>
    </w:p>
    <w:tbl>
      <w:tblPr>
        <w:tblStyle w:val="a3"/>
        <w:tblW w:w="1573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9"/>
        <w:gridCol w:w="4536"/>
      </w:tblGrid>
      <w:tr w:rsidR="000F5BD3" w:rsidRPr="00A47287" w14:paraId="0CE7E7E1" w14:textId="77777777" w:rsidTr="00D5433F">
        <w:tc>
          <w:tcPr>
            <w:tcW w:w="11199" w:type="dxa"/>
          </w:tcPr>
          <w:p w14:paraId="6F422876" w14:textId="77777777" w:rsidR="000F5BD3" w:rsidRPr="00A47287" w:rsidRDefault="000F5BD3" w:rsidP="00957B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</w:tcPr>
          <w:p w14:paraId="5817320C" w14:textId="5328D1F0" w:rsidR="000F5BD3" w:rsidRDefault="000F5BD3" w:rsidP="000F5B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</w:tr>
      <w:tr w:rsidR="00A9125E" w:rsidRPr="00187825" w14:paraId="5878D849" w14:textId="77777777" w:rsidTr="00D5433F">
        <w:tc>
          <w:tcPr>
            <w:tcW w:w="11199" w:type="dxa"/>
          </w:tcPr>
          <w:p w14:paraId="07386380" w14:textId="77777777" w:rsidR="00A9125E" w:rsidRPr="00A47287" w:rsidRDefault="00A9125E" w:rsidP="00957B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</w:tcPr>
          <w:p w14:paraId="194DCB31" w14:textId="6EDC31E9" w:rsidR="00A9125E" w:rsidRDefault="00187825" w:rsidP="00A9125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uz-Cyrl-UZ"/>
              </w:rPr>
              <w:t xml:space="preserve">Oila va xotin-qizlar qо‘mitasining </w:t>
            </w:r>
            <w:r>
              <w:rPr>
                <w:rFonts w:ascii="Times New Roman" w:hAnsi="Times New Roman" w:cs="Times New Roman"/>
                <w:b/>
                <w:szCs w:val="24"/>
                <w:lang w:val="uz-Cyrl-UZ"/>
              </w:rPr>
              <w:br/>
              <w:t>2026-yil 23-fevraldagi 28-sonli buyrug‘iga 2-ilova</w:t>
            </w:r>
          </w:p>
        </w:tc>
      </w:tr>
    </w:tbl>
    <w:p w14:paraId="6295F6B9" w14:textId="51B5785D" w:rsidR="004F6C31" w:rsidRPr="00993FB0" w:rsidRDefault="004F6C31" w:rsidP="00957BE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z-Cyrl-UZ"/>
        </w:rPr>
      </w:pPr>
    </w:p>
    <w:p w14:paraId="6E94A605" w14:textId="77777777" w:rsidR="000F5BD3" w:rsidRPr="00993FB0" w:rsidRDefault="000F5BD3" w:rsidP="00957BE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z-Cyrl-UZ"/>
        </w:rPr>
      </w:pPr>
    </w:p>
    <w:p w14:paraId="1ACF0120" w14:textId="1496A6C0" w:rsidR="008A4BE6" w:rsidRPr="00993FB0" w:rsidRDefault="00187825" w:rsidP="00362DEA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uz-Cyrl-UZ"/>
        </w:rPr>
      </w:pPr>
      <w:r>
        <w:rPr>
          <w:rFonts w:ascii="Times New Roman" w:hAnsi="Times New Roman" w:cs="Times New Roman"/>
          <w:b/>
          <w:sz w:val="26"/>
          <w:szCs w:val="26"/>
          <w:lang w:val="uz-Cyrl-UZ"/>
        </w:rPr>
        <w:t>Oila va xotin-qizlar qо‘mitasi</w:t>
      </w:r>
      <w:r w:rsidR="008A4BE6" w:rsidRPr="00993FB0">
        <w:rPr>
          <w:rFonts w:ascii="Times New Roman" w:hAnsi="Times New Roman" w:cs="Times New Roman"/>
          <w:b/>
          <w:sz w:val="26"/>
          <w:szCs w:val="26"/>
          <w:lang w:val="uz-Cyrl-UZ"/>
        </w:rPr>
        <w:t xml:space="preserve"> tizimida</w:t>
      </w:r>
      <w:r w:rsidR="00146644" w:rsidRPr="00993FB0">
        <w:rPr>
          <w:rFonts w:ascii="Times New Roman" w:hAnsi="Times New Roman" w:cs="Times New Roman"/>
          <w:b/>
          <w:sz w:val="26"/>
          <w:szCs w:val="26"/>
          <w:lang w:val="uz-Cyrl-UZ"/>
        </w:rPr>
        <w:t xml:space="preserve"> raqobat to‘g‘risidagi qonun</w:t>
      </w:r>
      <w:r>
        <w:rPr>
          <w:rFonts w:ascii="Times New Roman" w:hAnsi="Times New Roman" w:cs="Times New Roman"/>
          <w:b/>
          <w:sz w:val="26"/>
          <w:szCs w:val="26"/>
          <w:lang w:val="uz-Cyrl-UZ"/>
        </w:rPr>
        <w:t>chi</w:t>
      </w:r>
      <w:r w:rsidR="00146644" w:rsidRPr="00993FB0">
        <w:rPr>
          <w:rFonts w:ascii="Times New Roman" w:hAnsi="Times New Roman" w:cs="Times New Roman"/>
          <w:b/>
          <w:sz w:val="26"/>
          <w:szCs w:val="26"/>
          <w:lang w:val="uz-Cyrl-UZ"/>
        </w:rPr>
        <w:t xml:space="preserve">lik hujjatlari </w:t>
      </w:r>
    </w:p>
    <w:p w14:paraId="6D1D448C" w14:textId="5C43F69A" w:rsidR="008A4BE6" w:rsidRPr="00993FB0" w:rsidRDefault="00146644" w:rsidP="00362DEA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uz-Cyrl-UZ"/>
        </w:rPr>
      </w:pPr>
      <w:r w:rsidRPr="00993FB0">
        <w:rPr>
          <w:rFonts w:ascii="Times New Roman" w:hAnsi="Times New Roman" w:cs="Times New Roman"/>
          <w:b/>
          <w:sz w:val="26"/>
          <w:szCs w:val="26"/>
          <w:lang w:val="uz-Cyrl-UZ"/>
        </w:rPr>
        <w:t>talablarining buzilish xavflarini kamaytirish</w:t>
      </w:r>
      <w:r w:rsidR="008A4BE6" w:rsidRPr="00993FB0">
        <w:rPr>
          <w:rFonts w:ascii="Times New Roman" w:hAnsi="Times New Roman" w:cs="Times New Roman"/>
          <w:b/>
          <w:sz w:val="26"/>
          <w:szCs w:val="26"/>
          <w:lang w:val="uz-Cyrl-UZ"/>
        </w:rPr>
        <w:t xml:space="preserve"> bo‘yi</w:t>
      </w:r>
      <w:r w:rsidR="00187825">
        <w:rPr>
          <w:rFonts w:ascii="Times New Roman" w:hAnsi="Times New Roman" w:cs="Times New Roman"/>
          <w:b/>
          <w:sz w:val="26"/>
          <w:szCs w:val="26"/>
          <w:lang w:val="uz-Cyrl-UZ"/>
        </w:rPr>
        <w:t>cha</w:t>
      </w:r>
      <w:r w:rsidRPr="00993FB0">
        <w:rPr>
          <w:rFonts w:ascii="Times New Roman" w:hAnsi="Times New Roman" w:cs="Times New Roman"/>
          <w:b/>
          <w:sz w:val="26"/>
          <w:szCs w:val="26"/>
          <w:lang w:val="uz-Cyrl-UZ"/>
        </w:rPr>
        <w:t xml:space="preserve"> </w:t>
      </w:r>
      <w:r w:rsidR="008A4BE6" w:rsidRPr="00993FB0">
        <w:rPr>
          <w:rFonts w:ascii="Times New Roman" w:hAnsi="Times New Roman" w:cs="Times New Roman"/>
          <w:b/>
          <w:sz w:val="26"/>
          <w:szCs w:val="26"/>
          <w:lang w:val="uz-Cyrl-UZ"/>
        </w:rPr>
        <w:t>202</w:t>
      </w:r>
      <w:r w:rsidR="00E94FE6">
        <w:rPr>
          <w:rFonts w:ascii="Times New Roman" w:hAnsi="Times New Roman" w:cs="Times New Roman"/>
          <w:b/>
          <w:sz w:val="26"/>
          <w:szCs w:val="26"/>
          <w:lang w:val="en-US"/>
        </w:rPr>
        <w:t>6</w:t>
      </w:r>
      <w:r w:rsidR="00A47287">
        <w:rPr>
          <w:rFonts w:ascii="Times New Roman" w:hAnsi="Times New Roman" w:cs="Times New Roman"/>
          <w:b/>
          <w:sz w:val="26"/>
          <w:szCs w:val="26"/>
          <w:lang w:val="en-US"/>
        </w:rPr>
        <w:t>-</w:t>
      </w:r>
      <w:r w:rsidR="008A4BE6" w:rsidRPr="00993FB0">
        <w:rPr>
          <w:rFonts w:ascii="Times New Roman" w:hAnsi="Times New Roman" w:cs="Times New Roman"/>
          <w:b/>
          <w:sz w:val="26"/>
          <w:szCs w:val="26"/>
          <w:lang w:val="uz-Cyrl-UZ"/>
        </w:rPr>
        <w:t xml:space="preserve">yilga mo‘ljallangan </w:t>
      </w:r>
    </w:p>
    <w:p w14:paraId="36E7DC6F" w14:textId="16DBAE51" w:rsidR="009345F0" w:rsidRPr="00993FB0" w:rsidRDefault="008A4BE6" w:rsidP="00362DEA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uz-Cyrl-UZ"/>
        </w:rPr>
      </w:pPr>
      <w:r w:rsidRPr="00993FB0">
        <w:rPr>
          <w:rFonts w:ascii="Times New Roman" w:hAnsi="Times New Roman" w:cs="Times New Roman"/>
          <w:b/>
          <w:sz w:val="26"/>
          <w:szCs w:val="26"/>
          <w:lang w:val="uz-Cyrl-UZ"/>
        </w:rPr>
        <w:t>“YO‘L XARITASI”</w:t>
      </w:r>
    </w:p>
    <w:p w14:paraId="03AEA91E" w14:textId="77777777" w:rsidR="00957BE0" w:rsidRPr="00993FB0" w:rsidRDefault="00957BE0" w:rsidP="00957BE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z-Cyrl-UZ"/>
        </w:rPr>
      </w:pPr>
    </w:p>
    <w:tbl>
      <w:tblPr>
        <w:tblStyle w:val="a3"/>
        <w:tblW w:w="15588" w:type="dxa"/>
        <w:jc w:val="center"/>
        <w:tblLayout w:type="fixed"/>
        <w:tblLook w:val="04A0" w:firstRow="1" w:lastRow="0" w:firstColumn="1" w:lastColumn="0" w:noHBand="0" w:noVBand="1"/>
      </w:tblPr>
      <w:tblGrid>
        <w:gridCol w:w="577"/>
        <w:gridCol w:w="4380"/>
        <w:gridCol w:w="5670"/>
        <w:gridCol w:w="1842"/>
        <w:gridCol w:w="3119"/>
      </w:tblGrid>
      <w:tr w:rsidR="00034EEA" w:rsidRPr="00387713" w14:paraId="1643E316" w14:textId="72F4024D" w:rsidTr="00A1312C">
        <w:trPr>
          <w:trHeight w:val="843"/>
          <w:tblHeader/>
          <w:jc w:val="center"/>
        </w:trPr>
        <w:tc>
          <w:tcPr>
            <w:tcW w:w="577" w:type="dxa"/>
            <w:vAlign w:val="center"/>
          </w:tcPr>
          <w:p w14:paraId="2C4CADBB" w14:textId="77777777" w:rsidR="00034EEA" w:rsidRPr="00993FB0" w:rsidRDefault="00034EEA" w:rsidP="005E4C93">
            <w:pPr>
              <w:ind w:left="-59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uz-Cyrl-UZ"/>
              </w:rPr>
            </w:pPr>
            <w:r w:rsidRPr="00993FB0">
              <w:rPr>
                <w:rFonts w:ascii="Times New Roman" w:hAnsi="Times New Roman" w:cs="Times New Roman"/>
                <w:b/>
                <w:sz w:val="24"/>
                <w:szCs w:val="26"/>
                <w:lang w:val="uz-Cyrl-UZ"/>
              </w:rPr>
              <w:t>T/r</w:t>
            </w:r>
          </w:p>
        </w:tc>
        <w:tc>
          <w:tcPr>
            <w:tcW w:w="4380" w:type="dxa"/>
            <w:vAlign w:val="center"/>
          </w:tcPr>
          <w:p w14:paraId="2FCA0811" w14:textId="156F4CE9" w:rsidR="005B7F06" w:rsidRPr="00993FB0" w:rsidRDefault="005B7F06" w:rsidP="00957BE0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uz-Cyrl-UZ"/>
              </w:rPr>
            </w:pPr>
            <w:r w:rsidRPr="00993FB0">
              <w:rPr>
                <w:rFonts w:ascii="Times New Roman" w:hAnsi="Times New Roman" w:cs="Times New Roman"/>
                <w:b/>
                <w:sz w:val="24"/>
                <w:szCs w:val="26"/>
                <w:lang w:val="uz-Cyrl-UZ"/>
              </w:rPr>
              <w:t>Amalga o</w:t>
            </w:r>
            <w:r w:rsidR="00187825">
              <w:rPr>
                <w:rFonts w:ascii="Times New Roman" w:hAnsi="Times New Roman" w:cs="Times New Roman"/>
                <w:b/>
                <w:sz w:val="24"/>
                <w:szCs w:val="26"/>
                <w:lang w:val="uz-Cyrl-UZ"/>
              </w:rPr>
              <w:t>shi</w:t>
            </w:r>
            <w:r w:rsidRPr="00993FB0">
              <w:rPr>
                <w:rFonts w:ascii="Times New Roman" w:hAnsi="Times New Roman" w:cs="Times New Roman"/>
                <w:b/>
                <w:sz w:val="24"/>
                <w:szCs w:val="26"/>
                <w:lang w:val="uz-Cyrl-UZ"/>
              </w:rPr>
              <w:t xml:space="preserve">riladigan </w:t>
            </w:r>
          </w:p>
          <w:p w14:paraId="14B1BB79" w14:textId="55497B38" w:rsidR="00034EEA" w:rsidRPr="00993FB0" w:rsidRDefault="00187825" w:rsidP="00957BE0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uz-Cyrl-UZ"/>
              </w:rPr>
              <w:t>cho</w:t>
            </w:r>
            <w:r w:rsidR="005B7F06" w:rsidRPr="00993FB0">
              <w:rPr>
                <w:rFonts w:ascii="Times New Roman" w:hAnsi="Times New Roman" w:cs="Times New Roman"/>
                <w:b/>
                <w:sz w:val="24"/>
                <w:szCs w:val="26"/>
                <w:lang w:val="uz-Cyrl-UZ"/>
              </w:rPr>
              <w:t>ra-tadbirlar</w:t>
            </w:r>
          </w:p>
        </w:tc>
        <w:tc>
          <w:tcPr>
            <w:tcW w:w="5670" w:type="dxa"/>
            <w:vAlign w:val="center"/>
          </w:tcPr>
          <w:p w14:paraId="16015A4F" w14:textId="40C663A2" w:rsidR="005B7F06" w:rsidRPr="00993FB0" w:rsidRDefault="00034EEA" w:rsidP="005B7F06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uz-Cyrl-UZ"/>
              </w:rPr>
            </w:pPr>
            <w:r w:rsidRPr="00993FB0">
              <w:rPr>
                <w:rFonts w:ascii="Times New Roman" w:hAnsi="Times New Roman" w:cs="Times New Roman"/>
                <w:b/>
                <w:sz w:val="24"/>
                <w:szCs w:val="26"/>
                <w:lang w:val="uz-Cyrl-UZ"/>
              </w:rPr>
              <w:t>Amalga o</w:t>
            </w:r>
            <w:r w:rsidR="00187825">
              <w:rPr>
                <w:rFonts w:ascii="Times New Roman" w:hAnsi="Times New Roman" w:cs="Times New Roman"/>
                <w:b/>
                <w:sz w:val="24"/>
                <w:szCs w:val="26"/>
                <w:lang w:val="uz-Cyrl-UZ"/>
              </w:rPr>
              <w:t>shi</w:t>
            </w:r>
            <w:r w:rsidRPr="00993FB0">
              <w:rPr>
                <w:rFonts w:ascii="Times New Roman" w:hAnsi="Times New Roman" w:cs="Times New Roman"/>
                <w:b/>
                <w:sz w:val="24"/>
                <w:szCs w:val="26"/>
                <w:lang w:val="uz-Cyrl-UZ"/>
              </w:rPr>
              <w:t>ri</w:t>
            </w:r>
            <w:r w:rsidR="005B7F06" w:rsidRPr="00993FB0">
              <w:rPr>
                <w:rFonts w:ascii="Times New Roman" w:hAnsi="Times New Roman" w:cs="Times New Roman"/>
                <w:b/>
                <w:sz w:val="24"/>
                <w:szCs w:val="26"/>
                <w:lang w:val="uz-Cyrl-UZ"/>
              </w:rPr>
              <w:t>sh</w:t>
            </w:r>
            <w:r w:rsidRPr="00993FB0">
              <w:rPr>
                <w:rFonts w:ascii="Times New Roman" w:hAnsi="Times New Roman" w:cs="Times New Roman"/>
                <w:b/>
                <w:sz w:val="24"/>
                <w:szCs w:val="26"/>
                <w:lang w:val="uz-Cyrl-UZ"/>
              </w:rPr>
              <w:t xml:space="preserve"> </w:t>
            </w:r>
            <w:r w:rsidR="005B7F06" w:rsidRPr="00993FB0">
              <w:rPr>
                <w:rFonts w:ascii="Times New Roman" w:hAnsi="Times New Roman" w:cs="Times New Roman"/>
                <w:b/>
                <w:sz w:val="24"/>
                <w:szCs w:val="26"/>
                <w:lang w:val="uz-Cyrl-UZ"/>
              </w:rPr>
              <w:t xml:space="preserve">mexanizmi </w:t>
            </w:r>
          </w:p>
          <w:p w14:paraId="0669B267" w14:textId="3AF1D768" w:rsidR="00034EEA" w:rsidRPr="00993FB0" w:rsidRDefault="005B7F06" w:rsidP="005B7F06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uz-Cyrl-UZ"/>
              </w:rPr>
            </w:pPr>
            <w:r w:rsidRPr="00993FB0">
              <w:rPr>
                <w:rFonts w:ascii="Times New Roman" w:hAnsi="Times New Roman" w:cs="Times New Roman"/>
                <w:b/>
                <w:sz w:val="24"/>
                <w:szCs w:val="26"/>
                <w:lang w:val="uz-Cyrl-UZ"/>
              </w:rPr>
              <w:t>va bosqi</w:t>
            </w:r>
            <w:r w:rsidR="00187825">
              <w:rPr>
                <w:rFonts w:ascii="Times New Roman" w:hAnsi="Times New Roman" w:cs="Times New Roman"/>
                <w:b/>
                <w:sz w:val="24"/>
                <w:szCs w:val="26"/>
                <w:lang w:val="uz-Cyrl-UZ"/>
              </w:rPr>
              <w:t>chl</w:t>
            </w:r>
            <w:r w:rsidRPr="00993FB0">
              <w:rPr>
                <w:rFonts w:ascii="Times New Roman" w:hAnsi="Times New Roman" w:cs="Times New Roman"/>
                <w:b/>
                <w:sz w:val="24"/>
                <w:szCs w:val="26"/>
                <w:lang w:val="uz-Cyrl-UZ"/>
              </w:rPr>
              <w:t>ari</w:t>
            </w:r>
          </w:p>
        </w:tc>
        <w:tc>
          <w:tcPr>
            <w:tcW w:w="1842" w:type="dxa"/>
            <w:vAlign w:val="center"/>
          </w:tcPr>
          <w:p w14:paraId="01222722" w14:textId="5A6A51A8" w:rsidR="00034EEA" w:rsidRPr="00993FB0" w:rsidRDefault="00034EEA" w:rsidP="00957BE0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uz-Cyrl-UZ"/>
              </w:rPr>
            </w:pPr>
            <w:r w:rsidRPr="00993FB0">
              <w:rPr>
                <w:rFonts w:ascii="Times New Roman" w:hAnsi="Times New Roman" w:cs="Times New Roman"/>
                <w:b/>
                <w:sz w:val="24"/>
                <w:szCs w:val="26"/>
                <w:lang w:val="uz-Cyrl-UZ"/>
              </w:rPr>
              <w:t>Muddat</w:t>
            </w:r>
          </w:p>
        </w:tc>
        <w:tc>
          <w:tcPr>
            <w:tcW w:w="3119" w:type="dxa"/>
            <w:vAlign w:val="center"/>
          </w:tcPr>
          <w:p w14:paraId="16094334" w14:textId="5E856725" w:rsidR="00034EEA" w:rsidRPr="00993FB0" w:rsidRDefault="00034EEA" w:rsidP="005B7F06">
            <w:pPr>
              <w:ind w:left="-73" w:right="-66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6"/>
                <w:lang w:val="uz-Cyrl-UZ"/>
              </w:rPr>
            </w:pPr>
            <w:r w:rsidRPr="00993FB0">
              <w:rPr>
                <w:rFonts w:ascii="Times New Roman" w:hAnsi="Times New Roman" w:cs="Times New Roman"/>
                <w:b/>
                <w:spacing w:val="-2"/>
                <w:sz w:val="24"/>
                <w:szCs w:val="26"/>
                <w:lang w:val="uz-Cyrl-UZ"/>
              </w:rPr>
              <w:t>Mas</w:t>
            </w:r>
            <w:r w:rsidR="00A47287">
              <w:rPr>
                <w:rFonts w:ascii="Times New Roman" w:hAnsi="Times New Roman" w:cs="Times New Roman"/>
                <w:b/>
                <w:spacing w:val="-2"/>
                <w:sz w:val="24"/>
                <w:szCs w:val="26"/>
                <w:lang w:val="en-US"/>
              </w:rPr>
              <w:t>’</w:t>
            </w:r>
            <w:r w:rsidRPr="00993FB0">
              <w:rPr>
                <w:rFonts w:ascii="Times New Roman" w:hAnsi="Times New Roman" w:cs="Times New Roman"/>
                <w:b/>
                <w:spacing w:val="-2"/>
                <w:sz w:val="24"/>
                <w:szCs w:val="26"/>
                <w:lang w:val="uz-Cyrl-UZ"/>
              </w:rPr>
              <w:t xml:space="preserve">ul </w:t>
            </w:r>
            <w:r w:rsidR="005B7F06" w:rsidRPr="00993FB0">
              <w:rPr>
                <w:rFonts w:ascii="Times New Roman" w:hAnsi="Times New Roman" w:cs="Times New Roman"/>
                <w:b/>
                <w:spacing w:val="-2"/>
                <w:sz w:val="24"/>
                <w:szCs w:val="26"/>
                <w:lang w:val="uz-Cyrl-UZ"/>
              </w:rPr>
              <w:t>ijro</w:t>
            </w:r>
            <w:r w:rsidR="00187825">
              <w:rPr>
                <w:rFonts w:ascii="Times New Roman" w:hAnsi="Times New Roman" w:cs="Times New Roman"/>
                <w:b/>
                <w:spacing w:val="-2"/>
                <w:sz w:val="24"/>
                <w:szCs w:val="26"/>
                <w:lang w:val="uz-Cyrl-UZ"/>
              </w:rPr>
              <w:t>chi</w:t>
            </w:r>
            <w:r w:rsidR="005B7F06" w:rsidRPr="00993FB0">
              <w:rPr>
                <w:rFonts w:ascii="Times New Roman" w:hAnsi="Times New Roman" w:cs="Times New Roman"/>
                <w:b/>
                <w:spacing w:val="-2"/>
                <w:sz w:val="24"/>
                <w:szCs w:val="26"/>
                <w:lang w:val="uz-Cyrl-UZ"/>
              </w:rPr>
              <w:t>lar</w:t>
            </w:r>
          </w:p>
        </w:tc>
      </w:tr>
      <w:tr w:rsidR="00993FB0" w:rsidRPr="00187825" w14:paraId="7833691B" w14:textId="77777777" w:rsidTr="00760CE0">
        <w:trPr>
          <w:jc w:val="center"/>
        </w:trPr>
        <w:tc>
          <w:tcPr>
            <w:tcW w:w="577" w:type="dxa"/>
          </w:tcPr>
          <w:p w14:paraId="165FBDA3" w14:textId="77777777" w:rsidR="00993FB0" w:rsidRPr="00993FB0" w:rsidRDefault="00993FB0" w:rsidP="00562A82">
            <w:pPr>
              <w:pStyle w:val="a4"/>
              <w:numPr>
                <w:ilvl w:val="0"/>
                <w:numId w:val="6"/>
              </w:numPr>
              <w:ind w:left="113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6"/>
                <w:lang w:val="uz-Cyrl-UZ"/>
              </w:rPr>
            </w:pPr>
          </w:p>
        </w:tc>
        <w:tc>
          <w:tcPr>
            <w:tcW w:w="4380" w:type="dxa"/>
          </w:tcPr>
          <w:p w14:paraId="71FADF1E" w14:textId="7BB90C36" w:rsidR="00993FB0" w:rsidRPr="00993FB0" w:rsidRDefault="00993FB0" w:rsidP="00993FB0">
            <w:pPr>
              <w:ind w:firstLine="444"/>
              <w:jc w:val="both"/>
              <w:rPr>
                <w:rFonts w:ascii="Times New Roman" w:hAnsi="Times New Roman" w:cs="Times New Roman"/>
                <w:sz w:val="24"/>
                <w:szCs w:val="26"/>
                <w:lang w:val="uz-Cyrl-UZ"/>
              </w:rPr>
            </w:pPr>
            <w:r w:rsidRPr="00993FB0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Raqobat qonun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chi</w:t>
            </w:r>
            <w:r w:rsidRPr="00993FB0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ligiga kiritila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yot</w:t>
            </w:r>
            <w:r w:rsidRPr="00993FB0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gan o‘zgari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shl</w:t>
            </w:r>
            <w:r w:rsidRPr="00993FB0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arni o‘rganib borish, 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shu</w:t>
            </w:r>
            <w:r w:rsidRPr="00993FB0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ningdek, qonun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chi</w:t>
            </w:r>
            <w:r w:rsidRPr="00993FB0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likka kiritilgan o‘zgartiri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shl</w:t>
            </w:r>
            <w:r w:rsidRPr="00993FB0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ardan kelib 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chi</w:t>
            </w:r>
            <w:r w:rsidRPr="00993FB0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qib, idoraviy hujjatlarni muvofiqla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sht</w:t>
            </w:r>
            <w:r w:rsidRPr="00993FB0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irish 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yuz</w:t>
            </w:r>
            <w:r w:rsidRPr="00993FB0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asidan rahbari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yat</w:t>
            </w:r>
            <w:r w:rsidRPr="00993FB0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ga takliflar kiritish</w:t>
            </w:r>
          </w:p>
        </w:tc>
        <w:tc>
          <w:tcPr>
            <w:tcW w:w="5670" w:type="dxa"/>
          </w:tcPr>
          <w:p w14:paraId="2B88FE34" w14:textId="46807267" w:rsidR="00993FB0" w:rsidRDefault="00993FB0" w:rsidP="00356A79">
            <w:pPr>
              <w:spacing w:after="80"/>
              <w:ind w:firstLine="459"/>
              <w:jc w:val="both"/>
              <w:rPr>
                <w:rFonts w:ascii="Times New Roman" w:hAnsi="Times New Roman" w:cs="Times New Roman"/>
                <w:sz w:val="24"/>
                <w:szCs w:val="26"/>
                <w:lang w:val="uz-Cyrl-UZ"/>
              </w:rPr>
            </w:pPr>
            <w:r w:rsidRPr="00993FB0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Tizimli ravi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shd</w:t>
            </w:r>
            <w:r w:rsidRPr="00993FB0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a raqobat to‘g‘risidagi qonun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chi</w:t>
            </w:r>
            <w:r w:rsidRPr="00993FB0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lik hujjatlariga kiritila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yot</w:t>
            </w:r>
            <w:r w:rsidRPr="00993FB0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gan o‘zgari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shl</w:t>
            </w:r>
            <w:r w:rsidRPr="00993FB0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arni o‘rganib borish.</w:t>
            </w:r>
          </w:p>
          <w:p w14:paraId="404E77FC" w14:textId="27DA6E85" w:rsidR="00993FB0" w:rsidRPr="00993FB0" w:rsidRDefault="00993FB0" w:rsidP="00356A79">
            <w:pPr>
              <w:spacing w:after="80"/>
              <w:ind w:firstLine="459"/>
              <w:jc w:val="both"/>
              <w:rPr>
                <w:rFonts w:ascii="Times New Roman" w:hAnsi="Times New Roman" w:cs="Times New Roman"/>
                <w:sz w:val="24"/>
                <w:szCs w:val="26"/>
                <w:lang w:val="uz-Cyrl-UZ"/>
              </w:rPr>
            </w:pPr>
            <w:r w:rsidRPr="00993FB0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Korxonada raqobat to‘g‘risidagi qonun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chi</w:t>
            </w:r>
            <w:r w:rsidRPr="00993FB0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lik hujjatlari talablari buzili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shi</w:t>
            </w:r>
            <w:r w:rsidRPr="00993FB0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 mumkin bo‘lgan sohalarni tahlil qilish.</w:t>
            </w:r>
          </w:p>
        </w:tc>
        <w:tc>
          <w:tcPr>
            <w:tcW w:w="1842" w:type="dxa"/>
          </w:tcPr>
          <w:p w14:paraId="788FB95E" w14:textId="32A19040" w:rsidR="00993FB0" w:rsidRDefault="00C061A7" w:rsidP="00760CE0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Doimiy</w:t>
            </w:r>
          </w:p>
          <w:p w14:paraId="3CC7504C" w14:textId="77777777" w:rsidR="00760CE0" w:rsidRDefault="00760CE0" w:rsidP="00760CE0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uz-Cyrl-UZ"/>
              </w:rPr>
            </w:pPr>
          </w:p>
          <w:p w14:paraId="0E1454DA" w14:textId="77777777" w:rsidR="009D2401" w:rsidRDefault="009D2401" w:rsidP="009D2401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6"/>
                <w:lang w:val="uz-Cyrl-UZ"/>
              </w:rPr>
            </w:pPr>
          </w:p>
          <w:p w14:paraId="1D5DE294" w14:textId="6112BE35" w:rsidR="00760CE0" w:rsidRPr="00993FB0" w:rsidRDefault="00C061A7" w:rsidP="009D240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Doimiy</w:t>
            </w:r>
          </w:p>
        </w:tc>
        <w:tc>
          <w:tcPr>
            <w:tcW w:w="3119" w:type="dxa"/>
          </w:tcPr>
          <w:p w14:paraId="2389CABD" w14:textId="34579297" w:rsidR="00993FB0" w:rsidRPr="00993FB0" w:rsidRDefault="00993FB0" w:rsidP="00187825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uz-Cyrl-UZ"/>
              </w:rPr>
            </w:pPr>
            <w:r w:rsidRPr="00993FB0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Monopoli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yag</w:t>
            </w:r>
            <w:r w:rsidRPr="00993FB0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a qar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shi</w:t>
            </w:r>
            <w:r w:rsidRPr="00993FB0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 kompla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yen</w:t>
            </w:r>
            <w:r w:rsidRPr="00993FB0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s tizimi bo‘yi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cha</w:t>
            </w:r>
            <w:r w:rsidRPr="00993FB0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 </w:t>
            </w:r>
            <w:proofErr w:type="spellStart"/>
            <w:r w:rsidR="00D81E87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mas’ul</w:t>
            </w:r>
            <w:proofErr w:type="spellEnd"/>
            <w:r w:rsidRPr="00993FB0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 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sha</w:t>
            </w:r>
            <w:r w:rsidRPr="00993FB0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xs </w:t>
            </w:r>
          </w:p>
        </w:tc>
      </w:tr>
      <w:tr w:rsidR="00C35E19" w:rsidRPr="00187825" w14:paraId="3BD6A6BB" w14:textId="77777777" w:rsidTr="00760CE0">
        <w:trPr>
          <w:jc w:val="center"/>
        </w:trPr>
        <w:tc>
          <w:tcPr>
            <w:tcW w:w="577" w:type="dxa"/>
          </w:tcPr>
          <w:p w14:paraId="16FB9893" w14:textId="77777777" w:rsidR="00C35E19" w:rsidRPr="00993FB0" w:rsidRDefault="00C35E19" w:rsidP="00562A82">
            <w:pPr>
              <w:pStyle w:val="a4"/>
              <w:numPr>
                <w:ilvl w:val="0"/>
                <w:numId w:val="6"/>
              </w:numPr>
              <w:ind w:left="113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6"/>
                <w:lang w:val="uz-Cyrl-UZ"/>
              </w:rPr>
            </w:pPr>
          </w:p>
        </w:tc>
        <w:tc>
          <w:tcPr>
            <w:tcW w:w="4380" w:type="dxa"/>
          </w:tcPr>
          <w:p w14:paraId="4D190AB4" w14:textId="4DDBC6DE" w:rsidR="00C35E19" w:rsidRPr="00C35E19" w:rsidRDefault="00187825" w:rsidP="00187825">
            <w:pPr>
              <w:ind w:firstLine="444"/>
              <w:jc w:val="both"/>
              <w:rPr>
                <w:rFonts w:ascii="Times New Roman" w:hAnsi="Times New Roman" w:cs="Times New Roman"/>
                <w:sz w:val="24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Moliya-iqtisod bо‘limi x</w:t>
            </w:r>
            <w:r w:rsidR="00C35E19" w:rsidRPr="00C35E19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odimlari orasida “Monopoli</w:t>
            </w:r>
            <w:r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yag</w:t>
            </w:r>
            <w:r w:rsidR="00C35E19" w:rsidRPr="00C35E19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a qar</w:t>
            </w:r>
            <w:r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shi</w:t>
            </w:r>
            <w:r w:rsidR="00C35E19" w:rsidRPr="00C35E19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 qonun</w:t>
            </w:r>
            <w:r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chi</w:t>
            </w:r>
            <w:r w:rsidR="00C35E19" w:rsidRPr="00C35E19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lik va unga amal qilish” mavzusida seminar</w:t>
            </w:r>
            <w:r w:rsidR="000454C8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lar</w:t>
            </w:r>
            <w:r w:rsidR="00C35E19" w:rsidRPr="00C35E19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 </w:t>
            </w:r>
            <w:r w:rsidR="00C65E07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va muloqotlar </w:t>
            </w:r>
            <w:r w:rsidR="00C35E19" w:rsidRPr="00C35E19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o‘tkazish</w:t>
            </w:r>
          </w:p>
        </w:tc>
        <w:tc>
          <w:tcPr>
            <w:tcW w:w="5670" w:type="dxa"/>
            <w:vAlign w:val="center"/>
          </w:tcPr>
          <w:p w14:paraId="78C2578B" w14:textId="638D2447" w:rsidR="00C35E19" w:rsidRDefault="00C35E19" w:rsidP="00356A79">
            <w:pPr>
              <w:spacing w:after="80"/>
              <w:ind w:firstLine="459"/>
              <w:jc w:val="both"/>
              <w:rPr>
                <w:rFonts w:ascii="Times New Roman" w:hAnsi="Times New Roman" w:cs="Times New Roman"/>
                <w:sz w:val="24"/>
                <w:szCs w:val="26"/>
                <w:lang w:val="uz-Cyrl-UZ"/>
              </w:rPr>
            </w:pPr>
            <w:r w:rsidRPr="00C35E19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xodimlar orasida raqobat qonun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chi</w:t>
            </w:r>
            <w:r w:rsidRPr="00C35E19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ligi va uni</w:t>
            </w:r>
            <w:r w:rsidR="000454C8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ng</w:t>
            </w:r>
            <w:r w:rsidRPr="00C35E19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 buzilish ehtimollari hamda unga kiritila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yot</w:t>
            </w:r>
            <w:r w:rsidRPr="00C35E19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gan o‘zgari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shl</w:t>
            </w:r>
            <w:r w:rsidRPr="00C35E19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ar, 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yan</w:t>
            </w:r>
            <w:r w:rsidRPr="00C35E19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giliklar to‘g‘risida seminar</w:t>
            </w:r>
            <w:r w:rsidR="003D2B06" w:rsidRPr="003D2B06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-</w:t>
            </w:r>
            <w:r w:rsidRPr="00C35E19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trening ma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shg</w:t>
            </w:r>
            <w:r w:rsidRPr="00C35E19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‘ulotlarini o‘tkazish</w:t>
            </w:r>
            <w:r w:rsidR="00121E68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 va o‘tkazilgan tadbirlarni OAVlari hamda ijtimoiy tarmoqlar orqali doimiy 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yor</w:t>
            </w:r>
            <w:r w:rsidR="00121E68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itib borish</w:t>
            </w:r>
            <w:r w:rsidRPr="00C35E19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.</w:t>
            </w:r>
          </w:p>
          <w:p w14:paraId="54BC8A49" w14:textId="65510B69" w:rsidR="00C65E07" w:rsidRPr="00C65E07" w:rsidRDefault="00C65E07" w:rsidP="00F6361E">
            <w:pPr>
              <w:spacing w:after="80"/>
              <w:ind w:firstLine="459"/>
              <w:jc w:val="both"/>
              <w:rPr>
                <w:rFonts w:ascii="Times New Roman" w:hAnsi="Times New Roman" w:cs="Times New Roman"/>
                <w:sz w:val="24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Faoli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yat</w:t>
            </w:r>
            <w:r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 davomida</w:t>
            </w:r>
            <w:r w:rsidR="00F6361E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x</w:t>
            </w:r>
            <w:r w:rsidRPr="00C65E07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odimlarga</w:t>
            </w:r>
            <w:r w:rsidR="00F6361E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 </w:t>
            </w:r>
            <w:r w:rsidR="00F6361E" w:rsidRPr="00F6361E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muntazam ravi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shd</w:t>
            </w:r>
            <w:r w:rsidR="00F6361E" w:rsidRPr="00F6361E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a</w:t>
            </w:r>
            <w:r w:rsidRPr="00C65E07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 raqobat to‘g‘risidagi qonun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chi</w:t>
            </w:r>
            <w:r w:rsidRPr="00C65E07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lik hujjatlari talablariga amal qilish bilan bog‘liq mas</w:t>
            </w:r>
            <w:r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alalar bo‘yi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cha</w:t>
            </w:r>
            <w:r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 maslahatlar berib borish.</w:t>
            </w:r>
          </w:p>
        </w:tc>
        <w:tc>
          <w:tcPr>
            <w:tcW w:w="1842" w:type="dxa"/>
          </w:tcPr>
          <w:p w14:paraId="23CAAF3D" w14:textId="77777777" w:rsidR="00C35E19" w:rsidRDefault="00C35E19" w:rsidP="00C65E07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uz-Cyrl-UZ"/>
              </w:rPr>
            </w:pPr>
            <w:r w:rsidRPr="00C35E19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Bir yilda kamida </w:t>
            </w:r>
            <w:r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2</w:t>
            </w:r>
            <w:r w:rsidRPr="00C35E19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 marta</w:t>
            </w:r>
          </w:p>
          <w:p w14:paraId="31B17BA5" w14:textId="77777777" w:rsidR="00C65E07" w:rsidRDefault="00C65E07" w:rsidP="00C65E07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uz-Cyrl-UZ"/>
              </w:rPr>
            </w:pPr>
          </w:p>
          <w:p w14:paraId="00E14389" w14:textId="77777777" w:rsidR="00C65E07" w:rsidRDefault="00C65E07" w:rsidP="00C65E07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uz-Cyrl-UZ"/>
              </w:rPr>
            </w:pPr>
          </w:p>
          <w:p w14:paraId="5CE88309" w14:textId="77777777" w:rsidR="00C65E07" w:rsidRDefault="00C65E07" w:rsidP="00C65E0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6"/>
                <w:lang w:val="uz-Cyrl-UZ"/>
              </w:rPr>
            </w:pPr>
          </w:p>
          <w:p w14:paraId="060B27D9" w14:textId="77777777" w:rsidR="00121E68" w:rsidRDefault="00121E68" w:rsidP="00C65E07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uz-Cyrl-UZ"/>
              </w:rPr>
            </w:pPr>
          </w:p>
          <w:p w14:paraId="6011E5C3" w14:textId="6292F6FF" w:rsidR="00C65E07" w:rsidRPr="00C35E19" w:rsidRDefault="00C65E07" w:rsidP="00C65E07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Doimiy</w:t>
            </w:r>
          </w:p>
        </w:tc>
        <w:tc>
          <w:tcPr>
            <w:tcW w:w="3119" w:type="dxa"/>
          </w:tcPr>
          <w:p w14:paraId="29A8627A" w14:textId="72CA2FCF" w:rsidR="00C35E19" w:rsidRPr="00C35E19" w:rsidRDefault="00D81E87" w:rsidP="00187825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uz-Cyrl-UZ"/>
              </w:rPr>
            </w:pPr>
            <w:r w:rsidRPr="00993FB0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Monopoli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yag</w:t>
            </w:r>
            <w:r w:rsidRPr="00993FB0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a qar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shi</w:t>
            </w:r>
            <w:r w:rsidRPr="00993FB0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 kompla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yen</w:t>
            </w:r>
            <w:r w:rsidRPr="00993FB0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s tizimi bo‘yi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cha</w:t>
            </w:r>
            <w:r w:rsidRPr="00993FB0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 </w:t>
            </w:r>
            <w:r w:rsidRP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mas’ul</w:t>
            </w:r>
            <w:r w:rsidRPr="00993FB0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 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sha</w:t>
            </w:r>
            <w:r w:rsidRPr="00993FB0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xs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, Molitya-iqtisod bо‘limi, Аxborot </w:t>
            </w:r>
            <w:bookmarkStart w:id="0" w:name="_GoBack"/>
            <w:bookmarkEnd w:id="0"/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xizmati</w:t>
            </w:r>
            <w:r w:rsidRPr="00993FB0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 </w:t>
            </w:r>
          </w:p>
        </w:tc>
      </w:tr>
      <w:tr w:rsidR="00D172C7" w:rsidRPr="00187825" w14:paraId="52F4CE9C" w14:textId="77777777" w:rsidTr="008F4751">
        <w:trPr>
          <w:jc w:val="center"/>
        </w:trPr>
        <w:tc>
          <w:tcPr>
            <w:tcW w:w="577" w:type="dxa"/>
          </w:tcPr>
          <w:p w14:paraId="6B9C28A4" w14:textId="77777777" w:rsidR="00D172C7" w:rsidRPr="00993FB0" w:rsidRDefault="00D172C7" w:rsidP="00562A82">
            <w:pPr>
              <w:pStyle w:val="a4"/>
              <w:numPr>
                <w:ilvl w:val="0"/>
                <w:numId w:val="6"/>
              </w:numPr>
              <w:ind w:left="113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6"/>
                <w:lang w:val="uz-Cyrl-UZ"/>
              </w:rPr>
            </w:pPr>
          </w:p>
        </w:tc>
        <w:tc>
          <w:tcPr>
            <w:tcW w:w="4380" w:type="dxa"/>
          </w:tcPr>
          <w:p w14:paraId="60CFFB56" w14:textId="5A93E637" w:rsidR="00D172C7" w:rsidRPr="00FE6577" w:rsidRDefault="00FE6577" w:rsidP="0081777E">
            <w:pPr>
              <w:ind w:firstLine="444"/>
              <w:jc w:val="both"/>
              <w:rPr>
                <w:rFonts w:ascii="Times New Roman" w:hAnsi="Times New Roman" w:cs="Times New Roman"/>
                <w:sz w:val="24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R</w:t>
            </w:r>
            <w:r w:rsidRPr="00FE6577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aqobat to‘g‘risidagi qonun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chi</w:t>
            </w:r>
            <w:r w:rsidRPr="00FE6577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lik hujjatlari talablarining </w:t>
            </w:r>
            <w:r w:rsidR="0081777E" w:rsidRPr="00FE6577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buzilish </w:t>
            </w:r>
            <w:r w:rsidRPr="00FE6577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ehtimol</w:t>
            </w:r>
            <w:r w:rsidR="0081777E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ligini</w:t>
            </w:r>
            <w:r w:rsidRPr="00FE6577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 aniqlash va baholash</w:t>
            </w:r>
          </w:p>
        </w:tc>
        <w:tc>
          <w:tcPr>
            <w:tcW w:w="5670" w:type="dxa"/>
          </w:tcPr>
          <w:p w14:paraId="50D3CDDB" w14:textId="0434F805" w:rsidR="00D172C7" w:rsidRPr="00CC3DE9" w:rsidRDefault="00D172C7" w:rsidP="008F4751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sz w:val="24"/>
                <w:szCs w:val="26"/>
                <w:lang w:val="uz-Cyrl-UZ"/>
              </w:rPr>
            </w:pPr>
            <w:r w:rsidRPr="00D172C7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Oxirgi 3-yil davomida </w:t>
            </w:r>
            <w:r w:rsidR="00F70478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m</w:t>
            </w:r>
            <w:r w:rsidRPr="00D172C7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onopoli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yag</w:t>
            </w:r>
            <w:r w:rsidRPr="00D172C7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a qar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shi</w:t>
            </w:r>
            <w:r w:rsidRPr="00D172C7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 organ tomonidan o‘tkazilgan tek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shi</w:t>
            </w:r>
            <w:r w:rsidRPr="00D172C7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ri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shl</w:t>
            </w:r>
            <w:r w:rsidRPr="00D172C7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ar, aniqlangan qoidabuzarliklar, berilgan taqdimnomalarni o‘rganish.</w:t>
            </w:r>
          </w:p>
          <w:p w14:paraId="09839130" w14:textId="2F70A6CC" w:rsidR="00D172C7" w:rsidRPr="00D172C7" w:rsidRDefault="00187825" w:rsidP="008F4751">
            <w:pPr>
              <w:autoSpaceDE w:val="0"/>
              <w:autoSpaceDN w:val="0"/>
              <w:adjustRightInd w:val="0"/>
              <w:spacing w:after="80"/>
              <w:ind w:firstLine="459"/>
              <w:jc w:val="both"/>
              <w:rPr>
                <w:rFonts w:ascii="Times New Roman" w:hAnsi="Times New Roman" w:cs="Times New Roman"/>
                <w:sz w:val="24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lastRenderedPageBreak/>
              <w:t xml:space="preserve">Qо‘mita </w:t>
            </w:r>
            <w:r w:rsidR="00CC3DE9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o‘z</w:t>
            </w:r>
            <w:r w:rsidR="00D172C7" w:rsidRPr="00D172C7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 ustun mavqeini sui</w:t>
            </w:r>
            <w:r w:rsidR="00A47287" w:rsidRPr="00A47287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i</w:t>
            </w:r>
            <w:r w:rsidR="00D172C7" w:rsidRPr="00D172C7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ste</w:t>
            </w:r>
            <w:r w:rsidR="00A47287" w:rsidRPr="00A47287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’</w:t>
            </w:r>
            <w:r w:rsidR="00D172C7" w:rsidRPr="00D172C7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mol qili</w:t>
            </w:r>
            <w:r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shi</w:t>
            </w:r>
            <w:r w:rsidR="0081777E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 va</w:t>
            </w:r>
            <w:r w:rsidR="004C344A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yok</w:t>
            </w:r>
            <w:r w:rsidR="0081777E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i</w:t>
            </w:r>
            <w:r w:rsidR="004C344A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)</w:t>
            </w:r>
            <w:r w:rsidR="0081777E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 raqobatni </w:t>
            </w:r>
            <w:r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che</w:t>
            </w:r>
            <w:r w:rsidR="0081777E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kla</w:t>
            </w:r>
            <w:r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shi</w:t>
            </w:r>
            <w:r w:rsidR="00D172C7" w:rsidRPr="00D172C7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 mumkin bo‘lgan </w:t>
            </w:r>
            <w:r w:rsidR="00CC3DE9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holat</w:t>
            </w:r>
            <w:r w:rsidR="00D172C7" w:rsidRPr="00D172C7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larni o‘rganish</w:t>
            </w:r>
            <w:r w:rsidR="00817220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.</w:t>
            </w:r>
          </w:p>
          <w:p w14:paraId="25E9F17A" w14:textId="0D1B440B" w:rsidR="00D172C7" w:rsidRDefault="00D172C7" w:rsidP="008F4751">
            <w:pPr>
              <w:spacing w:after="80"/>
              <w:ind w:firstLine="459"/>
              <w:jc w:val="both"/>
              <w:rPr>
                <w:rFonts w:ascii="Times New Roman" w:hAnsi="Times New Roman" w:cs="Times New Roman"/>
                <w:sz w:val="24"/>
                <w:szCs w:val="26"/>
                <w:lang w:val="uz-Cyrl-UZ"/>
              </w:rPr>
            </w:pPr>
            <w:r w:rsidRPr="00D172C7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O‘tkazilgan o‘rgani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shl</w:t>
            </w:r>
            <w:r w:rsidRPr="00D172C7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ar va tahlillar natijasida qonun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chi</w:t>
            </w:r>
            <w:r w:rsidRPr="00D172C7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lik buzili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shi</w:t>
            </w:r>
            <w:r w:rsidRPr="00D172C7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 mumkin bo‘lgan sohalarni xavflar tasnifi asosida taqsimlash hamda bu 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yuz</w:t>
            </w:r>
            <w:r w:rsidRPr="00D172C7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asidan monopoli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yag</w:t>
            </w:r>
            <w:r w:rsidRPr="00D172C7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a qar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shi</w:t>
            </w:r>
            <w:r w:rsidRPr="00D172C7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 organga axborot kiritish</w:t>
            </w:r>
            <w:r w:rsidR="00817220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.</w:t>
            </w:r>
          </w:p>
        </w:tc>
        <w:tc>
          <w:tcPr>
            <w:tcW w:w="1842" w:type="dxa"/>
          </w:tcPr>
          <w:p w14:paraId="75EC057C" w14:textId="586A2FF1" w:rsidR="00D172C7" w:rsidRDefault="003D3A7D" w:rsidP="003D3A7D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uz-Cyrl-UZ"/>
              </w:rPr>
            </w:pPr>
            <w:r w:rsidRPr="003D3A7D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lastRenderedPageBreak/>
              <w:t xml:space="preserve">Har yili </w:t>
            </w:r>
            <w:r w:rsidR="008F4751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dekabr</w:t>
            </w:r>
            <w:r w:rsidR="00A47287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 xml:space="preserve"> </w:t>
            </w:r>
            <w:r w:rsidRPr="008F4751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oyiga</w:t>
            </w:r>
            <w:r w:rsidRPr="003D3A7D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 qadar</w:t>
            </w:r>
          </w:p>
          <w:p w14:paraId="7A9B60ED" w14:textId="77777777" w:rsidR="00BA0762" w:rsidRDefault="00BA0762" w:rsidP="00BA076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6"/>
                <w:lang w:val="uz-Cyrl-UZ"/>
              </w:rPr>
            </w:pPr>
          </w:p>
          <w:p w14:paraId="4E6B2D4D" w14:textId="77777777" w:rsidR="00484F27" w:rsidRDefault="00484F27" w:rsidP="00484F27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uz-Cyrl-UZ"/>
              </w:rPr>
            </w:pPr>
          </w:p>
          <w:p w14:paraId="2CC0602D" w14:textId="147A3602" w:rsidR="00BA0762" w:rsidRDefault="00BA0762" w:rsidP="003D3A7D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lastRenderedPageBreak/>
              <w:t xml:space="preserve">Har 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cho</w:t>
            </w:r>
            <w:r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rakda</w:t>
            </w:r>
          </w:p>
          <w:p w14:paraId="6B3670C4" w14:textId="77777777" w:rsidR="00BA0762" w:rsidRDefault="00BA0762" w:rsidP="003D3A7D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uz-Cyrl-UZ"/>
              </w:rPr>
            </w:pPr>
          </w:p>
          <w:p w14:paraId="229107EA" w14:textId="77777777" w:rsidR="00BA0762" w:rsidRDefault="00BA0762" w:rsidP="00BA076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6"/>
                <w:lang w:val="uz-Cyrl-UZ"/>
              </w:rPr>
            </w:pPr>
          </w:p>
          <w:p w14:paraId="1AE1A9FE" w14:textId="75CAF51C" w:rsidR="00BA0762" w:rsidRPr="00C35E19" w:rsidRDefault="00BA0762" w:rsidP="00BA0762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Har 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cho</w:t>
            </w:r>
            <w:r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rakda</w:t>
            </w:r>
          </w:p>
        </w:tc>
        <w:tc>
          <w:tcPr>
            <w:tcW w:w="3119" w:type="dxa"/>
          </w:tcPr>
          <w:p w14:paraId="5E43327D" w14:textId="5AE16CC5" w:rsidR="00D172C7" w:rsidRPr="00993FB0" w:rsidRDefault="00D81E87" w:rsidP="00187825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uz-Cyrl-UZ"/>
              </w:rPr>
            </w:pPr>
            <w:r w:rsidRPr="00993FB0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lastRenderedPageBreak/>
              <w:t>Monopoli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yag</w:t>
            </w:r>
            <w:r w:rsidRPr="00993FB0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a qar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shi</w:t>
            </w:r>
            <w:r w:rsidRPr="00993FB0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 kompla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yen</w:t>
            </w:r>
            <w:r w:rsidRPr="00993FB0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s tizimi bo‘yi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cha</w:t>
            </w:r>
            <w:r w:rsidRPr="00993FB0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mas’ul</w:t>
            </w:r>
            <w:proofErr w:type="spellEnd"/>
            <w:r w:rsidRPr="00993FB0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 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sha</w:t>
            </w:r>
            <w:r w:rsidRPr="00993FB0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xs </w:t>
            </w:r>
          </w:p>
        </w:tc>
      </w:tr>
      <w:tr w:rsidR="00A011C4" w:rsidRPr="00187825" w14:paraId="6FDF1265" w14:textId="77777777" w:rsidTr="00760CE0">
        <w:trPr>
          <w:jc w:val="center"/>
        </w:trPr>
        <w:tc>
          <w:tcPr>
            <w:tcW w:w="577" w:type="dxa"/>
          </w:tcPr>
          <w:p w14:paraId="567DB0FF" w14:textId="77777777" w:rsidR="00A011C4" w:rsidRPr="00993FB0" w:rsidRDefault="00A011C4" w:rsidP="00562A82">
            <w:pPr>
              <w:pStyle w:val="a4"/>
              <w:numPr>
                <w:ilvl w:val="0"/>
                <w:numId w:val="6"/>
              </w:numPr>
              <w:ind w:left="113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6"/>
                <w:lang w:val="uz-Cyrl-UZ"/>
              </w:rPr>
            </w:pPr>
          </w:p>
        </w:tc>
        <w:tc>
          <w:tcPr>
            <w:tcW w:w="4380" w:type="dxa"/>
          </w:tcPr>
          <w:p w14:paraId="2EFC1156" w14:textId="6C34C6E5" w:rsidR="00A011C4" w:rsidRPr="00752AB0" w:rsidRDefault="00752AB0" w:rsidP="00752AB0">
            <w:pPr>
              <w:ind w:firstLine="444"/>
              <w:jc w:val="both"/>
              <w:rPr>
                <w:rFonts w:ascii="Times New Roman" w:hAnsi="Times New Roman" w:cs="Times New Roman"/>
                <w:sz w:val="24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R</w:t>
            </w:r>
            <w:r w:rsidRPr="00752AB0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aqobat to‘g‘risidagi qonun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chi</w:t>
            </w:r>
            <w:r w:rsidRPr="00752AB0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lik hujjatlari</w:t>
            </w:r>
            <w:r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 talablarining </w:t>
            </w:r>
            <w:r w:rsidRPr="00752AB0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buzilish xavflarini aniqlash</w:t>
            </w:r>
            <w:r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 va</w:t>
            </w:r>
            <w:r w:rsidR="002D0FA1" w:rsidRPr="002D0FA1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 </w:t>
            </w:r>
            <w:r w:rsidRPr="00752AB0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ularning oldini olish</w:t>
            </w:r>
          </w:p>
        </w:tc>
        <w:tc>
          <w:tcPr>
            <w:tcW w:w="5670" w:type="dxa"/>
            <w:vAlign w:val="center"/>
          </w:tcPr>
          <w:p w14:paraId="11AC8069" w14:textId="3018AE1B" w:rsidR="00356A79" w:rsidRDefault="00356A79" w:rsidP="00356A79">
            <w:pPr>
              <w:autoSpaceDE w:val="0"/>
              <w:autoSpaceDN w:val="0"/>
              <w:adjustRightInd w:val="0"/>
              <w:spacing w:after="80"/>
              <w:ind w:firstLine="459"/>
              <w:jc w:val="both"/>
              <w:rPr>
                <w:rFonts w:ascii="Times New Roman" w:hAnsi="Times New Roman" w:cs="Times New Roman"/>
                <w:sz w:val="24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F</w:t>
            </w:r>
            <w:r w:rsidRPr="004C344A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aoli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yat</w:t>
            </w:r>
            <w:r w:rsidRPr="004C344A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ga tegi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shl</w:t>
            </w:r>
            <w:r w:rsidRPr="004C344A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i </w:t>
            </w:r>
            <w:r w:rsidRPr="00972781">
              <w:rPr>
                <w:rFonts w:ascii="Times New Roman" w:hAnsi="Times New Roman" w:cs="Times New Roman"/>
                <w:b/>
                <w:sz w:val="24"/>
                <w:szCs w:val="26"/>
                <w:lang w:val="uz-Cyrl-UZ"/>
              </w:rPr>
              <w:t>materiallarni tahlil qilish</w:t>
            </w:r>
            <w:r w:rsidRPr="004C344A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 (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shu</w:t>
            </w:r>
            <w:r w:rsidRPr="004C344A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 jumladan, raqobatni va (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yok</w:t>
            </w:r>
            <w:r w:rsidRPr="004C344A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i) iste</w:t>
            </w:r>
            <w:r w:rsidR="00A47287" w:rsidRPr="00A47287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’</w:t>
            </w:r>
            <w:r w:rsidRPr="004C344A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mol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chi</w:t>
            </w:r>
            <w:r w:rsidRPr="004C344A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larning huquq va manfaatlarini 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che</w:t>
            </w:r>
            <w:r w:rsidRPr="004C344A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klaydigan normalarni aniqla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shg</w:t>
            </w:r>
            <w:r w:rsidRPr="004C344A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a qaratilgan i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chk</w:t>
            </w:r>
            <w:r w:rsidRPr="004C344A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i hujjatlarni xatlovdan o‘tkazi</w:t>
            </w:r>
            <w:r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sh</w:t>
            </w:r>
            <w:r w:rsidRPr="004C344A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), aniqlangan </w:t>
            </w:r>
            <w:r w:rsidRPr="00972781">
              <w:rPr>
                <w:rFonts w:ascii="Times New Roman" w:hAnsi="Times New Roman" w:cs="Times New Roman"/>
                <w:b/>
                <w:sz w:val="24"/>
                <w:szCs w:val="26"/>
                <w:lang w:val="uz-Cyrl-UZ"/>
              </w:rPr>
              <w:t>kam</w:t>
            </w:r>
            <w:r w:rsidR="00187825">
              <w:rPr>
                <w:rFonts w:ascii="Times New Roman" w:hAnsi="Times New Roman" w:cs="Times New Roman"/>
                <w:b/>
                <w:sz w:val="24"/>
                <w:szCs w:val="26"/>
                <w:lang w:val="uz-Cyrl-UZ"/>
              </w:rPr>
              <w:t>chi</w:t>
            </w:r>
            <w:r w:rsidRPr="00972781">
              <w:rPr>
                <w:rFonts w:ascii="Times New Roman" w:hAnsi="Times New Roman" w:cs="Times New Roman"/>
                <w:b/>
                <w:sz w:val="24"/>
                <w:szCs w:val="26"/>
                <w:lang w:val="uz-Cyrl-UZ"/>
              </w:rPr>
              <w:t>liklarni bartaraf</w:t>
            </w:r>
            <w:r w:rsidRPr="004C344A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 eti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shg</w:t>
            </w:r>
            <w:r w:rsidRPr="004C344A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a yo‘na</w:t>
            </w:r>
            <w:r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ltirilgan 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cho</w:t>
            </w:r>
            <w:r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ralarni i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shl</w:t>
            </w:r>
            <w:r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ab 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chi</w:t>
            </w:r>
            <w:r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qish.</w:t>
            </w:r>
          </w:p>
          <w:p w14:paraId="6E00A4D5" w14:textId="76C4FAC9" w:rsidR="00921B4E" w:rsidRPr="00921B4E" w:rsidRDefault="00356A79" w:rsidP="00921B4E">
            <w:pPr>
              <w:autoSpaceDE w:val="0"/>
              <w:autoSpaceDN w:val="0"/>
              <w:adjustRightInd w:val="0"/>
              <w:spacing w:after="80"/>
              <w:ind w:firstLine="459"/>
              <w:jc w:val="both"/>
              <w:rPr>
                <w:rFonts w:ascii="Times New Roman" w:hAnsi="Times New Roman" w:cs="Times New Roman"/>
                <w:sz w:val="24"/>
                <w:szCs w:val="26"/>
                <w:lang w:val="uz-Cyrl-UZ"/>
              </w:rPr>
            </w:pPr>
            <w:r w:rsidRPr="001E7951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Korxona tomonidan 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chi</w:t>
            </w:r>
            <w:r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qariladigan</w:t>
            </w:r>
            <w:r w:rsidRPr="001E7951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 </w:t>
            </w:r>
            <w:r w:rsidRPr="00356A79">
              <w:rPr>
                <w:rFonts w:ascii="Times New Roman" w:hAnsi="Times New Roman" w:cs="Times New Roman"/>
                <w:b/>
                <w:sz w:val="24"/>
                <w:szCs w:val="26"/>
                <w:lang w:val="uz-Cyrl-UZ"/>
              </w:rPr>
              <w:t>hujjatlar</w:t>
            </w:r>
            <w:r w:rsidRPr="001E7951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 (qaror, farmoyish,</w:t>
            </w:r>
            <w:r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 </w:t>
            </w:r>
            <w:r w:rsidRPr="001E7951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buyruq, yig‘ilish ba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yon</w:t>
            </w:r>
            <w:r w:rsidRPr="001E7951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lari va bo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shq</w:t>
            </w:r>
            <w:r w:rsidRPr="001E7951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lar</w:t>
            </w:r>
            <w:r w:rsidRPr="001E7951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) </w:t>
            </w:r>
            <w:r w:rsidRPr="00356A79">
              <w:rPr>
                <w:rFonts w:ascii="Times New Roman" w:hAnsi="Times New Roman" w:cs="Times New Roman"/>
                <w:b/>
                <w:sz w:val="24"/>
                <w:szCs w:val="26"/>
                <w:lang w:val="uz-Cyrl-UZ"/>
              </w:rPr>
              <w:t>loyihalari</w:t>
            </w:r>
            <w:r w:rsidR="00260681">
              <w:rPr>
                <w:rFonts w:ascii="Times New Roman" w:hAnsi="Times New Roman" w:cs="Times New Roman"/>
                <w:b/>
                <w:sz w:val="24"/>
                <w:szCs w:val="26"/>
                <w:lang w:val="uz-Cyrl-UZ"/>
              </w:rPr>
              <w:t>ni</w:t>
            </w:r>
            <w:r w:rsidRPr="001E7951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 </w:t>
            </w:r>
            <w:r w:rsidR="00260681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doimiy </w:t>
            </w:r>
            <w:r w:rsidR="00921B4E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o‘rganib</w:t>
            </w:r>
            <w:r w:rsidR="00260681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 borish. Bunda </w:t>
            </w:r>
            <w:r w:rsidR="00921B4E" w:rsidRPr="00921B4E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raqobat to‘g‘risidagi qonun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chi</w:t>
            </w:r>
            <w:r w:rsidR="00921B4E" w:rsidRPr="00921B4E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lik hujjatlari talablarining buzili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shi</w:t>
            </w:r>
            <w:r w:rsidR="00921B4E" w:rsidRPr="00921B4E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ni keltirib 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chi</w:t>
            </w:r>
            <w:r w:rsidR="00921B4E" w:rsidRPr="00921B4E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qari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shi</w:t>
            </w:r>
            <w:r w:rsidR="00921B4E" w:rsidRPr="00921B4E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 mumkin bo‘lgan normalar aniqlangan taqdirda, b</w:t>
            </w:r>
            <w:r w:rsidR="00921B4E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u haqda rahbarni xabardor qilish</w:t>
            </w:r>
            <w:r w:rsidR="00BD0B14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.</w:t>
            </w:r>
          </w:p>
          <w:p w14:paraId="48FC49EA" w14:textId="07DB68B9" w:rsidR="00356A79" w:rsidRDefault="00356A79" w:rsidP="00356A79">
            <w:pPr>
              <w:autoSpaceDE w:val="0"/>
              <w:autoSpaceDN w:val="0"/>
              <w:adjustRightInd w:val="0"/>
              <w:spacing w:after="80"/>
              <w:ind w:firstLine="459"/>
              <w:jc w:val="both"/>
              <w:rPr>
                <w:rFonts w:ascii="Times New Roman" w:hAnsi="Times New Roman" w:cs="Times New Roman"/>
                <w:sz w:val="24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R</w:t>
            </w:r>
            <w:r w:rsidRPr="00682540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aqobat 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che</w:t>
            </w:r>
            <w:r w:rsidRPr="00682540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klovlarini keltirib 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chi</w:t>
            </w:r>
            <w:r w:rsidRPr="00682540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qari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shi</w:t>
            </w:r>
            <w:r w:rsidRPr="00682540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 mumkin bo‘lgan </w:t>
            </w:r>
            <w:r w:rsidRPr="00356A79">
              <w:rPr>
                <w:rFonts w:ascii="Times New Roman" w:hAnsi="Times New Roman" w:cs="Times New Roman"/>
                <w:b/>
                <w:sz w:val="24"/>
                <w:szCs w:val="26"/>
                <w:lang w:val="uz-Cyrl-UZ"/>
              </w:rPr>
              <w:t>omillarni aniqlash</w:t>
            </w:r>
            <w:r w:rsidRPr="00682540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 va ularni bartaraf etish bo‘yi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cha</w:t>
            </w:r>
            <w:r w:rsidRPr="00682540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 </w:t>
            </w:r>
            <w:r w:rsidRPr="00356A79">
              <w:rPr>
                <w:rFonts w:ascii="Times New Roman" w:hAnsi="Times New Roman" w:cs="Times New Roman"/>
                <w:b/>
                <w:sz w:val="24"/>
                <w:szCs w:val="26"/>
                <w:lang w:val="uz-Cyrl-UZ"/>
              </w:rPr>
              <w:t>takliflar</w:t>
            </w:r>
            <w:r w:rsidRPr="00682540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 i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shl</w:t>
            </w:r>
            <w:r w:rsidRPr="00682540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ab 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chi</w:t>
            </w:r>
            <w:r w:rsidRPr="00682540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q</w:t>
            </w:r>
            <w:r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ish.</w:t>
            </w:r>
          </w:p>
          <w:p w14:paraId="3375F6EA" w14:textId="67D67673" w:rsidR="005F1F08" w:rsidRDefault="00187825" w:rsidP="00356A79">
            <w:pPr>
              <w:autoSpaceDE w:val="0"/>
              <w:autoSpaceDN w:val="0"/>
              <w:adjustRightInd w:val="0"/>
              <w:spacing w:after="80"/>
              <w:ind w:firstLine="459"/>
              <w:jc w:val="both"/>
              <w:rPr>
                <w:rFonts w:ascii="Times New Roman" w:hAnsi="Times New Roman" w:cs="Times New Roman"/>
                <w:sz w:val="24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Qо‘mita</w:t>
            </w:r>
            <w:r w:rsidR="005F1F08" w:rsidRPr="005F1F08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 tomonidan </w:t>
            </w:r>
            <w:r w:rsidR="005F1F08" w:rsidRPr="001E2460">
              <w:rPr>
                <w:rFonts w:ascii="Times New Roman" w:hAnsi="Times New Roman" w:cs="Times New Roman"/>
                <w:b/>
                <w:sz w:val="24"/>
                <w:szCs w:val="26"/>
                <w:lang w:val="uz-Cyrl-UZ"/>
              </w:rPr>
              <w:t>tanlov (tender)</w:t>
            </w:r>
            <w:r w:rsidR="005F1F08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 va </w:t>
            </w:r>
            <w:r w:rsidR="005F1F08" w:rsidRPr="001E2460">
              <w:rPr>
                <w:rFonts w:ascii="Times New Roman" w:hAnsi="Times New Roman" w:cs="Times New Roman"/>
                <w:b/>
                <w:sz w:val="24"/>
                <w:szCs w:val="26"/>
                <w:lang w:val="uz-Cyrl-UZ"/>
              </w:rPr>
              <w:t>birja savdolari</w:t>
            </w:r>
            <w:r w:rsidR="005F1F08" w:rsidRPr="005F1F08">
              <w:rPr>
                <w:lang w:val="uz-Cyrl-UZ"/>
              </w:rPr>
              <w:t xml:space="preserve"> </w:t>
            </w:r>
            <w:r w:rsidR="005F1F08" w:rsidRPr="005F1F08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o‘tkazili</w:t>
            </w:r>
            <w:r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shi</w:t>
            </w:r>
            <w:r w:rsidR="005F1F08" w:rsidRPr="005F1F08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da raqobat to‘g‘risidagi qonun hujjatlariga rioya etili</w:t>
            </w:r>
            <w:r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shi</w:t>
            </w:r>
            <w:r w:rsidR="005F1F08" w:rsidRPr="005F1F08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 ustidan belgilangan tartibda nazoratni amalga o</w:t>
            </w:r>
            <w:r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shi</w:t>
            </w:r>
            <w:r w:rsidR="005F1F08" w:rsidRPr="005F1F08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rish.</w:t>
            </w:r>
          </w:p>
          <w:p w14:paraId="02873DCA" w14:textId="6F8A6086" w:rsidR="00EE7FA1" w:rsidRPr="00EE7FA1" w:rsidRDefault="00187825" w:rsidP="00972781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sz w:val="24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Qо‘mita</w:t>
            </w:r>
            <w:r w:rsidR="00EE7FA1" w:rsidRPr="00EE7FA1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 </w:t>
            </w:r>
            <w:r w:rsidR="002D6D1F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(tarkibiy bo‘linmalari)</w:t>
            </w:r>
            <w:r w:rsidR="00EE7FA1" w:rsidRPr="00EE7FA1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 </w:t>
            </w:r>
            <w:r w:rsidR="002D6D1F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va</w:t>
            </w:r>
            <w:r w:rsidR="00EE7FA1" w:rsidRPr="00EE7FA1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 </w:t>
            </w:r>
            <w:r w:rsidR="002D6D1F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bo</w:t>
            </w:r>
            <w:r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shq</w:t>
            </w:r>
            <w:r w:rsidR="002D6D1F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yur</w:t>
            </w:r>
            <w:r w:rsidR="002D6D1F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idik </w:t>
            </w:r>
            <w:r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sha</w:t>
            </w:r>
            <w:r w:rsidR="002D6D1F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xslar o‘rtasida</w:t>
            </w:r>
            <w:r w:rsidR="00665607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 </w:t>
            </w:r>
            <w:r w:rsidR="0070636A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tuziladigan</w:t>
            </w:r>
            <w:r w:rsidR="00EE7FA1" w:rsidRPr="00EE7FA1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6"/>
                <w:lang w:val="uz-Cyrl-UZ"/>
              </w:rPr>
              <w:t>sha</w:t>
            </w:r>
            <w:r w:rsidR="00EE7FA1" w:rsidRPr="002A74F5">
              <w:rPr>
                <w:rFonts w:ascii="Times New Roman" w:hAnsi="Times New Roman" w:cs="Times New Roman"/>
                <w:b/>
                <w:sz w:val="24"/>
                <w:szCs w:val="26"/>
                <w:lang w:val="uz-Cyrl-UZ"/>
              </w:rPr>
              <w:t xml:space="preserve">rtnomalarni o‘rganib </w:t>
            </w:r>
            <w:r w:rsidR="0070636A" w:rsidRPr="002A74F5">
              <w:rPr>
                <w:rFonts w:ascii="Times New Roman" w:hAnsi="Times New Roman" w:cs="Times New Roman"/>
                <w:b/>
                <w:sz w:val="24"/>
                <w:szCs w:val="26"/>
                <w:lang w:val="uz-Cyrl-UZ"/>
              </w:rPr>
              <w:t>borish</w:t>
            </w:r>
            <w:r w:rsidR="00EE7FA1" w:rsidRPr="00EE7FA1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. </w:t>
            </w:r>
            <w:r w:rsidR="002D6D1F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Bunda:</w:t>
            </w:r>
          </w:p>
          <w:p w14:paraId="195A1499" w14:textId="3AA47290" w:rsidR="00EE7FA1" w:rsidRPr="00EE7FA1" w:rsidRDefault="00EE7FA1" w:rsidP="00972781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sz w:val="24"/>
                <w:szCs w:val="26"/>
                <w:lang w:val="uz-Cyrl-UZ"/>
              </w:rPr>
            </w:pPr>
            <w:r w:rsidRPr="00EE7FA1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- ayrim xo‘jalik 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yur</w:t>
            </w:r>
            <w:r w:rsidRPr="00EE7FA1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ituv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chi</w:t>
            </w:r>
            <w:r w:rsidRPr="00EE7FA1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 su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bek</w:t>
            </w:r>
            <w:r w:rsidRPr="00EE7FA1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tlarga ularni tovar 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yok</w:t>
            </w:r>
            <w:r w:rsidRPr="00EE7FA1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i moliya bozorida faoli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yat</w:t>
            </w:r>
            <w:r w:rsidRPr="00EE7FA1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 ko‘rsata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yot</w:t>
            </w:r>
            <w:r w:rsidRPr="00EE7FA1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gan bo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shq</w:t>
            </w:r>
            <w:r w:rsidRPr="00EE7FA1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a xo‘jalik 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yur</w:t>
            </w:r>
            <w:r w:rsidRPr="00EE7FA1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ituv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chi</w:t>
            </w:r>
            <w:r w:rsidRPr="00EE7FA1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 su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bek</w:t>
            </w:r>
            <w:r w:rsidRPr="00EE7FA1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tlarga nisbatan afzal holatga </w:t>
            </w:r>
            <w:r w:rsidRPr="00EE7FA1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lastRenderedPageBreak/>
              <w:t>qo‘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yad</w:t>
            </w:r>
            <w:r w:rsidRPr="00EE7FA1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igan imti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yoz</w:t>
            </w:r>
            <w:r w:rsidRPr="00EE7FA1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lar, preferensi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yal</w:t>
            </w:r>
            <w:r w:rsidRPr="00EE7FA1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ar va 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yen</w:t>
            </w:r>
            <w:r w:rsidRPr="00EE7FA1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gilliklarni asossiz ravi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shd</w:t>
            </w:r>
            <w:r w:rsidRPr="00EE7FA1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a berish holatlari</w:t>
            </w:r>
            <w:r w:rsidR="002D6D1F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ning;</w:t>
            </w:r>
          </w:p>
          <w:p w14:paraId="2FD4FD7D" w14:textId="156973BF" w:rsidR="00EE7FA1" w:rsidRPr="00EE7FA1" w:rsidRDefault="00EE7FA1" w:rsidP="00972781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sz w:val="24"/>
                <w:szCs w:val="26"/>
                <w:lang w:val="uz-Cyrl-UZ"/>
              </w:rPr>
            </w:pPr>
            <w:r w:rsidRPr="00EE7FA1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- ayrim xo‘jalik 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yur</w:t>
            </w:r>
            <w:r w:rsidRPr="00EE7FA1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ituv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chi</w:t>
            </w:r>
            <w:r w:rsidRPr="00EE7FA1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 su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bek</w:t>
            </w:r>
            <w:r w:rsidRPr="00EE7FA1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tlarning faoli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yat</w:t>
            </w:r>
            <w:r w:rsidRPr="00EE7FA1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i u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chu</w:t>
            </w:r>
            <w:r w:rsidRPr="00EE7FA1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n bo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shq</w:t>
            </w:r>
            <w:r w:rsidRPr="00EE7FA1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a kamsituv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chi</w:t>
            </w:r>
            <w:r w:rsidRPr="00EE7FA1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 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yok</w:t>
            </w:r>
            <w:r w:rsidRPr="00EE7FA1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i imti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yoz</w:t>
            </w:r>
            <w:r w:rsidRPr="00EE7FA1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li 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sha</w:t>
            </w:r>
            <w:r w:rsidRPr="00EE7FA1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rtlar (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sha</w:t>
            </w:r>
            <w:r w:rsidRPr="00EE7FA1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roitlar) belgilash holatlari</w:t>
            </w:r>
            <w:r w:rsidR="00636016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ning</w:t>
            </w:r>
            <w:r w:rsidRPr="00EE7FA1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;</w:t>
            </w:r>
          </w:p>
          <w:p w14:paraId="1C1DE913" w14:textId="3D5B2277" w:rsidR="001E2460" w:rsidRDefault="00EE7FA1" w:rsidP="00356A79">
            <w:pPr>
              <w:autoSpaceDE w:val="0"/>
              <w:autoSpaceDN w:val="0"/>
              <w:adjustRightInd w:val="0"/>
              <w:spacing w:after="80"/>
              <w:ind w:firstLine="459"/>
              <w:jc w:val="both"/>
              <w:rPr>
                <w:rFonts w:ascii="Times New Roman" w:hAnsi="Times New Roman" w:cs="Times New Roman"/>
                <w:sz w:val="24"/>
                <w:szCs w:val="26"/>
                <w:lang w:val="uz-Cyrl-UZ"/>
              </w:rPr>
            </w:pPr>
            <w:r w:rsidRPr="00EE7FA1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- til b</w:t>
            </w:r>
            <w:r w:rsidR="00636016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iriktirish va kartel keli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shu</w:t>
            </w:r>
            <w:r w:rsidR="00636016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vlar</w:t>
            </w:r>
            <w:r w:rsidRPr="00EE7FA1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 sodir etili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shi</w:t>
            </w:r>
            <w:r w:rsidRPr="00EE7FA1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ni</w:t>
            </w:r>
            <w:r w:rsidR="00636016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ng</w:t>
            </w:r>
            <w:r w:rsidRPr="00EE7FA1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 oldini olish.</w:t>
            </w:r>
          </w:p>
          <w:p w14:paraId="1731DCE6" w14:textId="13AA1277" w:rsidR="00356A79" w:rsidRPr="001B3FAE" w:rsidRDefault="00295D9E" w:rsidP="00187825">
            <w:pPr>
              <w:autoSpaceDE w:val="0"/>
              <w:autoSpaceDN w:val="0"/>
              <w:adjustRightInd w:val="0"/>
              <w:spacing w:after="80"/>
              <w:ind w:firstLine="459"/>
              <w:jc w:val="both"/>
              <w:rPr>
                <w:rFonts w:ascii="Times New Roman" w:hAnsi="Times New Roman" w:cs="Times New Roman"/>
                <w:sz w:val="24"/>
                <w:szCs w:val="26"/>
                <w:lang w:val="uz-Cyrl-UZ"/>
              </w:rPr>
            </w:pPr>
            <w:r w:rsidRPr="00295D9E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Monopol korxona tomonidan sotiladigan</w:t>
            </w:r>
            <w:r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,</w:t>
            </w:r>
            <w:r w:rsidRPr="00295D9E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 ular bo‘yi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cha</w:t>
            </w:r>
            <w:r w:rsidRPr="00295D9E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 u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shb</w:t>
            </w:r>
            <w:r w:rsidRPr="00295D9E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u su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bek</w:t>
            </w:r>
            <w:r w:rsidRPr="00295D9E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tning ustun mavqei e</w:t>
            </w:r>
            <w:r w:rsidR="00A47287" w:rsidRPr="00A47287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’</w:t>
            </w:r>
            <w:r w:rsidRPr="00295D9E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tirof etilgan tovarlarga (i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shl</w:t>
            </w:r>
            <w:r w:rsidRPr="00295D9E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arga, xizmatlarga) monopol 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yuq</w:t>
            </w:r>
            <w:r w:rsidRPr="00295D9E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ori va monopol past narxlar o‘rnatili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shi</w:t>
            </w:r>
            <w:r w:rsidRPr="00295D9E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ga olib keladigan 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yok</w:t>
            </w:r>
            <w:r w:rsidRPr="00295D9E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i olib keli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shi</w:t>
            </w:r>
            <w:r w:rsidRPr="00295D9E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 mumkin bo‘lgan harakatlarni o‘rganish</w:t>
            </w:r>
            <w:r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.</w:t>
            </w:r>
          </w:p>
        </w:tc>
        <w:tc>
          <w:tcPr>
            <w:tcW w:w="1842" w:type="dxa"/>
          </w:tcPr>
          <w:p w14:paraId="6EF4100F" w14:textId="007ADBBC" w:rsidR="00A011C4" w:rsidRPr="003D3A7D" w:rsidRDefault="008F4751" w:rsidP="003D3A7D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lastRenderedPageBreak/>
              <w:t>Doimiy</w:t>
            </w:r>
          </w:p>
        </w:tc>
        <w:tc>
          <w:tcPr>
            <w:tcW w:w="3119" w:type="dxa"/>
          </w:tcPr>
          <w:p w14:paraId="24190B9C" w14:textId="313CB078" w:rsidR="00A011C4" w:rsidRPr="00993FB0" w:rsidRDefault="00D81E87" w:rsidP="00187825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uz-Cyrl-UZ"/>
              </w:rPr>
            </w:pPr>
            <w:r w:rsidRPr="00993FB0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Monopoli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yag</w:t>
            </w:r>
            <w:r w:rsidRPr="00993FB0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a qar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shi</w:t>
            </w:r>
            <w:r w:rsidRPr="00993FB0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 kompla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yen</w:t>
            </w:r>
            <w:r w:rsidRPr="00993FB0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s tizimi bo‘yi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cha</w:t>
            </w:r>
            <w:r w:rsidRPr="00993FB0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 </w:t>
            </w:r>
            <w:r w:rsidRP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mas’ul</w:t>
            </w:r>
            <w:r w:rsidRPr="00993FB0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 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sha</w:t>
            </w:r>
            <w:r w:rsidRPr="00993FB0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xs 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br/>
              <w:t>Moliya-iqtisod bо‘limi</w:t>
            </w:r>
          </w:p>
        </w:tc>
      </w:tr>
      <w:tr w:rsidR="00D06939" w:rsidRPr="00187825" w14:paraId="1435C90A" w14:textId="77777777" w:rsidTr="00702F51">
        <w:trPr>
          <w:jc w:val="center"/>
        </w:trPr>
        <w:tc>
          <w:tcPr>
            <w:tcW w:w="577" w:type="dxa"/>
          </w:tcPr>
          <w:p w14:paraId="06D73C7A" w14:textId="77777777" w:rsidR="00D06939" w:rsidRPr="00993FB0" w:rsidRDefault="00D06939" w:rsidP="00D06939">
            <w:pPr>
              <w:pStyle w:val="a4"/>
              <w:numPr>
                <w:ilvl w:val="0"/>
                <w:numId w:val="6"/>
              </w:numPr>
              <w:ind w:left="113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6"/>
                <w:lang w:val="uz-Cyrl-UZ"/>
              </w:rPr>
            </w:pPr>
          </w:p>
        </w:tc>
        <w:tc>
          <w:tcPr>
            <w:tcW w:w="4380" w:type="dxa"/>
          </w:tcPr>
          <w:p w14:paraId="0A37C10E" w14:textId="4B7FF34B" w:rsidR="00D06939" w:rsidRDefault="00D06939" w:rsidP="00D06939">
            <w:pPr>
              <w:ind w:firstLine="444"/>
              <w:jc w:val="both"/>
              <w:rPr>
                <w:rFonts w:ascii="Times New Roman" w:hAnsi="Times New Roman" w:cs="Times New Roman"/>
                <w:sz w:val="24"/>
                <w:szCs w:val="26"/>
                <w:lang w:val="uz-Cyrl-UZ"/>
              </w:rPr>
            </w:pPr>
            <w:r w:rsidRPr="00D06939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Monopoli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yag</w:t>
            </w:r>
            <w:r w:rsidRPr="00D06939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a qar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shi</w:t>
            </w:r>
            <w:r w:rsidRPr="00D06939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 kompla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yen</w:t>
            </w:r>
            <w:r w:rsidRPr="00D06939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s tizimi faoli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yat</w:t>
            </w:r>
            <w:r w:rsidRPr="00D06939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i 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yuz</w:t>
            </w:r>
            <w:r w:rsidRPr="00D06939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asidan yillik hisobotni tay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yor</w:t>
            </w:r>
            <w:r w:rsidRPr="00D06939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lash</w:t>
            </w:r>
          </w:p>
        </w:tc>
        <w:tc>
          <w:tcPr>
            <w:tcW w:w="5670" w:type="dxa"/>
          </w:tcPr>
          <w:p w14:paraId="3A8F2444" w14:textId="13A6B491" w:rsidR="00712468" w:rsidRPr="00712468" w:rsidRDefault="005E0EBE" w:rsidP="00B6303F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6"/>
                <w:lang w:val="uz-Cyrl-UZ"/>
              </w:rPr>
            </w:pPr>
            <w:r w:rsidRPr="00A47287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. </w:t>
            </w:r>
            <w:r w:rsidR="00712468" w:rsidRPr="00712468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Monopoli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yag</w:t>
            </w:r>
            <w:r w:rsidR="00712468" w:rsidRPr="00712468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a qar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shi</w:t>
            </w:r>
            <w:r w:rsidR="00712468" w:rsidRPr="00712468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 kompla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yen</w:t>
            </w:r>
            <w:r w:rsidR="00712468" w:rsidRPr="00712468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s </w:t>
            </w:r>
            <w:proofErr w:type="gramStart"/>
            <w:r w:rsidR="00712468" w:rsidRPr="00712468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bo‘</w:t>
            </w:r>
            <w:proofErr w:type="gramEnd"/>
            <w:r w:rsidR="00712468" w:rsidRPr="00712468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yi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cha</w:t>
            </w:r>
            <w:r w:rsidR="00712468" w:rsidRPr="00712468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 hisobot tay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yor</w:t>
            </w:r>
            <w:r w:rsidR="00712468" w:rsidRPr="00712468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lash:</w:t>
            </w:r>
          </w:p>
          <w:p w14:paraId="5F922795" w14:textId="4C2B0C82" w:rsidR="00712468" w:rsidRPr="00712468" w:rsidRDefault="00712468" w:rsidP="00B6303F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6"/>
                <w:lang w:val="uz-Cyrl-UZ"/>
              </w:rPr>
            </w:pPr>
            <w:r w:rsidRPr="00712468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raqobat to‘g‘risidagi qonun buzili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shi</w:t>
            </w:r>
            <w:r w:rsidRPr="00712468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 xavfini baholash natijalari to‘g‘risida;</w:t>
            </w:r>
          </w:p>
          <w:p w14:paraId="3D940154" w14:textId="357A9F4C" w:rsidR="00712468" w:rsidRPr="00712468" w:rsidRDefault="00712468" w:rsidP="00B6303F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6"/>
                <w:lang w:val="uz-Cyrl-UZ"/>
              </w:rPr>
            </w:pPr>
            <w:r w:rsidRPr="00712468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raqobat to‘g‘risidagi qonun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chi</w:t>
            </w:r>
            <w:r w:rsidRPr="00712468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lik hujjatlari buzili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shi</w:t>
            </w:r>
            <w:r w:rsidRPr="00712468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 xavfini kamaytirish 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yuz</w:t>
            </w:r>
            <w:r w:rsidRPr="00712468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asidan ko‘rilgan 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cho</w:t>
            </w:r>
            <w:r w:rsidRPr="00712468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ra-tadbirlarning amalga o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shi</w:t>
            </w:r>
            <w:r w:rsidRPr="00712468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rili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shi</w:t>
            </w:r>
            <w:r w:rsidRPr="00712468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 to‘g‘risida;</w:t>
            </w:r>
          </w:p>
          <w:p w14:paraId="1773E787" w14:textId="61D21B44" w:rsidR="00712468" w:rsidRPr="00712468" w:rsidRDefault="00712468" w:rsidP="00B6303F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6"/>
                <w:lang w:val="uz-Cyrl-UZ"/>
              </w:rPr>
            </w:pPr>
            <w:r w:rsidRPr="00712468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monopoli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yag</w:t>
            </w:r>
            <w:r w:rsidRPr="00712468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a qar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shi</w:t>
            </w:r>
            <w:r w:rsidRPr="00712468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 kompla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yen</w:t>
            </w:r>
            <w:r w:rsidRPr="00712468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sning asosiy ko‘rsatki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chl</w:t>
            </w:r>
            <w:r w:rsidRPr="00712468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ariga eri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shi</w:t>
            </w:r>
            <w:r w:rsidRPr="00712468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sh to‘g‘risida;</w:t>
            </w:r>
          </w:p>
          <w:p w14:paraId="2D0536F7" w14:textId="723554E2" w:rsidR="00D06939" w:rsidRPr="00D06939" w:rsidRDefault="00712468" w:rsidP="00712468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6"/>
                <w:lang w:val="uz-Cyrl-UZ"/>
              </w:rPr>
            </w:pPr>
            <w:r w:rsidRPr="00712468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monopoli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yag</w:t>
            </w:r>
            <w:r w:rsidRPr="00712468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a qar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shi</w:t>
            </w:r>
            <w:r w:rsidRPr="00712468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 kompla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yen</w:t>
            </w:r>
            <w:r w:rsidRPr="00712468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s faoli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yat</w:t>
            </w:r>
            <w:r w:rsidRPr="00712468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ining samaradorligini baholash u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chu</w:t>
            </w:r>
            <w:r w:rsidRPr="00712468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n asosiy ko‘rsatki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chl</w:t>
            </w:r>
            <w:r w:rsidRPr="00712468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arni hisoblash to‘g‘risida.</w:t>
            </w:r>
          </w:p>
          <w:p w14:paraId="17F5FA6C" w14:textId="280FCF69" w:rsidR="00D06939" w:rsidRPr="005E0EBE" w:rsidRDefault="005E0EBE" w:rsidP="005E0EBE">
            <w:pPr>
              <w:pStyle w:val="a5"/>
              <w:spacing w:before="0" w:beforeAutospacing="0" w:after="0" w:afterAutospacing="0"/>
              <w:ind w:firstLine="459"/>
              <w:jc w:val="both"/>
              <w:rPr>
                <w:lang w:val="uz-Cyrl-UZ"/>
              </w:rPr>
            </w:pPr>
            <w:r w:rsidRPr="005E0EBE">
              <w:rPr>
                <w:lang w:val="uz-Cyrl-UZ"/>
              </w:rPr>
              <w:t>2</w:t>
            </w:r>
            <w:r>
              <w:rPr>
                <w:rFonts w:eastAsiaTheme="minorHAnsi"/>
                <w:szCs w:val="26"/>
                <w:lang w:val="uz-Cyrl-UZ" w:eastAsia="en-US"/>
              </w:rPr>
              <w:t>. </w:t>
            </w:r>
            <w:r w:rsidRPr="005E0EBE">
              <w:rPr>
                <w:rFonts w:eastAsiaTheme="minorHAnsi"/>
                <w:szCs w:val="26"/>
                <w:lang w:val="uz-Cyrl-UZ" w:eastAsia="en-US"/>
              </w:rPr>
              <w:t>Monopoli</w:t>
            </w:r>
            <w:r w:rsidR="00187825">
              <w:rPr>
                <w:rFonts w:eastAsiaTheme="minorHAnsi"/>
                <w:szCs w:val="26"/>
                <w:lang w:val="uz-Cyrl-UZ" w:eastAsia="en-US"/>
              </w:rPr>
              <w:t>yag</w:t>
            </w:r>
            <w:r w:rsidRPr="005E0EBE">
              <w:rPr>
                <w:rFonts w:eastAsiaTheme="minorHAnsi"/>
                <w:szCs w:val="26"/>
                <w:lang w:val="uz-Cyrl-UZ" w:eastAsia="en-US"/>
              </w:rPr>
              <w:t>a qar</w:t>
            </w:r>
            <w:r w:rsidR="00187825">
              <w:rPr>
                <w:rFonts w:eastAsiaTheme="minorHAnsi"/>
                <w:szCs w:val="26"/>
                <w:lang w:val="uz-Cyrl-UZ" w:eastAsia="en-US"/>
              </w:rPr>
              <w:t>shi</w:t>
            </w:r>
            <w:r w:rsidRPr="005E0EBE">
              <w:rPr>
                <w:rFonts w:eastAsiaTheme="minorHAnsi"/>
                <w:szCs w:val="26"/>
                <w:lang w:val="uz-Cyrl-UZ" w:eastAsia="en-US"/>
              </w:rPr>
              <w:t xml:space="preserve"> kompla</w:t>
            </w:r>
            <w:r w:rsidR="00187825">
              <w:rPr>
                <w:rFonts w:eastAsiaTheme="minorHAnsi"/>
                <w:szCs w:val="26"/>
                <w:lang w:val="en-US" w:eastAsia="en-US"/>
              </w:rPr>
              <w:t>yen</w:t>
            </w:r>
            <w:r w:rsidRPr="005E0EBE">
              <w:rPr>
                <w:rFonts w:eastAsiaTheme="minorHAnsi"/>
                <w:szCs w:val="26"/>
                <w:lang w:val="uz-Cyrl-UZ" w:eastAsia="en-US"/>
              </w:rPr>
              <w:t>s to‘g‘risidagi hisobotni rasmiy veb-saytga joyla</w:t>
            </w:r>
            <w:r w:rsidR="00187825">
              <w:rPr>
                <w:rFonts w:eastAsiaTheme="minorHAnsi"/>
                <w:szCs w:val="26"/>
                <w:lang w:val="uz-Cyrl-UZ" w:eastAsia="en-US"/>
              </w:rPr>
              <w:t>sht</w:t>
            </w:r>
            <w:r w:rsidRPr="005E0EBE">
              <w:rPr>
                <w:rFonts w:eastAsiaTheme="minorHAnsi"/>
                <w:szCs w:val="26"/>
                <w:lang w:val="uz-Cyrl-UZ" w:eastAsia="en-US"/>
              </w:rPr>
              <w:t>irish va monopoli</w:t>
            </w:r>
            <w:r w:rsidR="00187825">
              <w:rPr>
                <w:rFonts w:eastAsiaTheme="minorHAnsi"/>
                <w:szCs w:val="26"/>
                <w:lang w:val="uz-Cyrl-UZ" w:eastAsia="en-US"/>
              </w:rPr>
              <w:t>yag</w:t>
            </w:r>
            <w:r w:rsidRPr="005E0EBE">
              <w:rPr>
                <w:rFonts w:eastAsiaTheme="minorHAnsi"/>
                <w:szCs w:val="26"/>
                <w:lang w:val="uz-Cyrl-UZ" w:eastAsia="en-US"/>
              </w:rPr>
              <w:t>a qar</w:t>
            </w:r>
            <w:r w:rsidR="00187825">
              <w:rPr>
                <w:rFonts w:eastAsiaTheme="minorHAnsi"/>
                <w:szCs w:val="26"/>
                <w:lang w:val="uz-Cyrl-UZ" w:eastAsia="en-US"/>
              </w:rPr>
              <w:t>shi</w:t>
            </w:r>
            <w:r w:rsidRPr="005E0EBE">
              <w:rPr>
                <w:rFonts w:eastAsiaTheme="minorHAnsi"/>
                <w:szCs w:val="26"/>
                <w:lang w:val="uz-Cyrl-UZ" w:eastAsia="en-US"/>
              </w:rPr>
              <w:t xml:space="preserve"> organga </w:t>
            </w:r>
            <w:r w:rsidR="00187825">
              <w:rPr>
                <w:rFonts w:eastAsiaTheme="minorHAnsi"/>
                <w:szCs w:val="26"/>
                <w:lang w:val="uz-Cyrl-UZ" w:eastAsia="en-US"/>
              </w:rPr>
              <w:t>yub</w:t>
            </w:r>
            <w:r w:rsidRPr="005E0EBE">
              <w:rPr>
                <w:rFonts w:eastAsiaTheme="minorHAnsi"/>
                <w:szCs w:val="26"/>
                <w:lang w:val="uz-Cyrl-UZ" w:eastAsia="en-US"/>
              </w:rPr>
              <w:t>orish.</w:t>
            </w:r>
          </w:p>
        </w:tc>
        <w:tc>
          <w:tcPr>
            <w:tcW w:w="1842" w:type="dxa"/>
          </w:tcPr>
          <w:p w14:paraId="4FC23DA0" w14:textId="68048826" w:rsidR="008F4751" w:rsidRDefault="008F4751" w:rsidP="00702F51">
            <w:pPr>
              <w:pStyle w:val="a5"/>
              <w:spacing w:before="0" w:beforeAutospacing="0" w:after="0" w:afterAutospacing="0"/>
              <w:jc w:val="center"/>
              <w:rPr>
                <w:rFonts w:eastAsiaTheme="minorHAnsi"/>
                <w:szCs w:val="26"/>
                <w:lang w:val="uz-Cyrl-UZ" w:eastAsia="en-US"/>
              </w:rPr>
            </w:pPr>
            <w:r w:rsidRPr="008F4751">
              <w:rPr>
                <w:rFonts w:eastAsiaTheme="minorHAnsi"/>
                <w:szCs w:val="26"/>
                <w:lang w:val="uz-Cyrl-UZ" w:eastAsia="en-US"/>
              </w:rPr>
              <w:t xml:space="preserve">Har yili </w:t>
            </w:r>
            <w:r>
              <w:rPr>
                <w:rFonts w:eastAsiaTheme="minorHAnsi"/>
                <w:szCs w:val="26"/>
                <w:lang w:val="uz-Cyrl-UZ" w:eastAsia="en-US"/>
              </w:rPr>
              <w:br/>
            </w:r>
            <w:r w:rsidRPr="008F4751">
              <w:rPr>
                <w:rFonts w:eastAsiaTheme="minorHAnsi"/>
                <w:szCs w:val="26"/>
                <w:lang w:val="uz-Cyrl-UZ" w:eastAsia="en-US"/>
              </w:rPr>
              <w:t>15-dekabrga qadar</w:t>
            </w:r>
          </w:p>
          <w:p w14:paraId="2E3E49D2" w14:textId="77777777" w:rsidR="008F4751" w:rsidRPr="008F4751" w:rsidRDefault="008F4751" w:rsidP="00702F51">
            <w:pPr>
              <w:pStyle w:val="a5"/>
              <w:spacing w:before="0" w:beforeAutospacing="0" w:after="0" w:afterAutospacing="0"/>
              <w:jc w:val="center"/>
              <w:rPr>
                <w:rFonts w:eastAsiaTheme="minorHAnsi"/>
                <w:szCs w:val="26"/>
                <w:lang w:val="uz-Cyrl-UZ" w:eastAsia="en-US"/>
              </w:rPr>
            </w:pPr>
          </w:p>
          <w:p w14:paraId="26A2CAFE" w14:textId="77777777" w:rsidR="00D06939" w:rsidRDefault="00D06939" w:rsidP="00702F5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uz-Cyrl-UZ"/>
              </w:rPr>
            </w:pPr>
          </w:p>
          <w:p w14:paraId="4E52339C" w14:textId="77777777" w:rsidR="008F4751" w:rsidRDefault="008F4751" w:rsidP="00702F5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uz-Cyrl-UZ"/>
              </w:rPr>
            </w:pPr>
          </w:p>
          <w:p w14:paraId="4292D07F" w14:textId="77777777" w:rsidR="008F4751" w:rsidRDefault="008F4751" w:rsidP="00702F5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uz-Cyrl-UZ"/>
              </w:rPr>
            </w:pPr>
          </w:p>
          <w:p w14:paraId="15093606" w14:textId="77777777" w:rsidR="00702F51" w:rsidRDefault="00702F51" w:rsidP="00702F5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uz-Cyrl-UZ"/>
              </w:rPr>
            </w:pPr>
          </w:p>
          <w:p w14:paraId="1D6A2E4B" w14:textId="77777777" w:rsidR="00702F51" w:rsidRDefault="00702F51" w:rsidP="00702F5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uz-Cyrl-UZ"/>
              </w:rPr>
            </w:pPr>
          </w:p>
          <w:p w14:paraId="0D7EA9DF" w14:textId="77777777" w:rsidR="00702F51" w:rsidRDefault="00702F51" w:rsidP="00702F5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uz-Cyrl-UZ"/>
              </w:rPr>
            </w:pPr>
          </w:p>
          <w:p w14:paraId="4F479372" w14:textId="77777777" w:rsidR="00702F51" w:rsidRDefault="00702F51" w:rsidP="00702F5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uz-Cyrl-UZ"/>
              </w:rPr>
            </w:pPr>
          </w:p>
          <w:p w14:paraId="07F0688A" w14:textId="77777777" w:rsidR="00702F51" w:rsidRDefault="00702F51" w:rsidP="00702F5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uz-Cyrl-UZ"/>
              </w:rPr>
            </w:pPr>
          </w:p>
          <w:p w14:paraId="5294CDE3" w14:textId="2CE72DBB" w:rsidR="008F4751" w:rsidRPr="00702F51" w:rsidRDefault="00702F51" w:rsidP="00702F51">
            <w:pPr>
              <w:pStyle w:val="a5"/>
              <w:spacing w:before="0" w:beforeAutospacing="0" w:after="0" w:afterAutospacing="0"/>
              <w:jc w:val="center"/>
              <w:rPr>
                <w:rFonts w:eastAsiaTheme="minorHAnsi"/>
                <w:szCs w:val="26"/>
                <w:lang w:val="uz-Cyrl-UZ" w:eastAsia="en-US"/>
              </w:rPr>
            </w:pPr>
            <w:r w:rsidRPr="008F4751">
              <w:rPr>
                <w:rFonts w:eastAsiaTheme="minorHAnsi"/>
                <w:szCs w:val="26"/>
                <w:lang w:val="uz-Cyrl-UZ" w:eastAsia="en-US"/>
              </w:rPr>
              <w:t xml:space="preserve">Har yili </w:t>
            </w:r>
            <w:r>
              <w:rPr>
                <w:rFonts w:eastAsiaTheme="minorHAnsi"/>
                <w:szCs w:val="26"/>
                <w:lang w:val="uz-Cyrl-UZ" w:eastAsia="en-US"/>
              </w:rPr>
              <w:br/>
              <w:t>2</w:t>
            </w:r>
            <w:r w:rsidRPr="008F4751">
              <w:rPr>
                <w:rFonts w:eastAsiaTheme="minorHAnsi"/>
                <w:szCs w:val="26"/>
                <w:lang w:val="uz-Cyrl-UZ" w:eastAsia="en-US"/>
              </w:rPr>
              <w:t>5-dekabrga qadar</w:t>
            </w:r>
          </w:p>
        </w:tc>
        <w:tc>
          <w:tcPr>
            <w:tcW w:w="3119" w:type="dxa"/>
          </w:tcPr>
          <w:p w14:paraId="31AB5056" w14:textId="41E14BE3" w:rsidR="00D06939" w:rsidRPr="00993FB0" w:rsidRDefault="00D81E87" w:rsidP="00187825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uz-Cyrl-UZ"/>
              </w:rPr>
            </w:pPr>
            <w:r w:rsidRPr="00993FB0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Monopoli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yag</w:t>
            </w:r>
            <w:r w:rsidRPr="00993FB0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a qar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shi</w:t>
            </w:r>
            <w:r w:rsidRPr="00993FB0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 kompla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yen</w:t>
            </w:r>
            <w:r w:rsidRPr="00993FB0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s tizimi bo‘yi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cha</w:t>
            </w:r>
            <w:r w:rsidRPr="00993FB0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 </w:t>
            </w:r>
            <w:r w:rsidRP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mas’ul</w:t>
            </w:r>
            <w:r w:rsidRPr="00993FB0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 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sha</w:t>
            </w:r>
            <w:r w:rsidRPr="00993FB0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xs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, Axorot xizmati</w:t>
            </w:r>
            <w:r w:rsidRPr="00993FB0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 </w:t>
            </w:r>
          </w:p>
        </w:tc>
      </w:tr>
      <w:tr w:rsidR="00944E6E" w:rsidRPr="00187825" w14:paraId="105358E8" w14:textId="77777777" w:rsidTr="00760CE0">
        <w:trPr>
          <w:jc w:val="center"/>
        </w:trPr>
        <w:tc>
          <w:tcPr>
            <w:tcW w:w="577" w:type="dxa"/>
          </w:tcPr>
          <w:p w14:paraId="19DBF560" w14:textId="77777777" w:rsidR="00944E6E" w:rsidRPr="00993FB0" w:rsidRDefault="00944E6E" w:rsidP="00944E6E">
            <w:pPr>
              <w:pStyle w:val="a4"/>
              <w:numPr>
                <w:ilvl w:val="0"/>
                <w:numId w:val="6"/>
              </w:numPr>
              <w:ind w:left="113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6"/>
                <w:lang w:val="uz-Cyrl-UZ"/>
              </w:rPr>
            </w:pPr>
          </w:p>
        </w:tc>
        <w:tc>
          <w:tcPr>
            <w:tcW w:w="4380" w:type="dxa"/>
            <w:vAlign w:val="center"/>
          </w:tcPr>
          <w:p w14:paraId="266115EE" w14:textId="59B30F70" w:rsidR="00944E6E" w:rsidRPr="00F416F8" w:rsidRDefault="00944E6E" w:rsidP="00944E6E">
            <w:pPr>
              <w:ind w:firstLine="444"/>
              <w:jc w:val="both"/>
              <w:rPr>
                <w:rFonts w:ascii="Times New Roman" w:hAnsi="Times New Roman" w:cs="Times New Roman"/>
                <w:sz w:val="24"/>
                <w:szCs w:val="26"/>
                <w:lang w:val="uz-Cyrl-UZ"/>
              </w:rPr>
            </w:pPr>
            <w:r w:rsidRPr="00E94B7A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Keyingi yilga mo‘ljallangan raqobat to‘g‘risidagi qonun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chi</w:t>
            </w:r>
            <w:r w:rsidRPr="00E94B7A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lik hujjatlari talablarining buzilish xavflarini kamaytirish bo‘yi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cha</w:t>
            </w:r>
            <w:r w:rsidRPr="00E94B7A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 “Yo‘l xarita”sini tasdiqlash</w:t>
            </w:r>
          </w:p>
        </w:tc>
        <w:tc>
          <w:tcPr>
            <w:tcW w:w="5670" w:type="dxa"/>
            <w:vAlign w:val="center"/>
          </w:tcPr>
          <w:p w14:paraId="75930BD2" w14:textId="7F20045C" w:rsidR="00944E6E" w:rsidRPr="00F416F8" w:rsidRDefault="00944E6E" w:rsidP="00944E6E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6"/>
                <w:lang w:val="uz-Cyrl-UZ"/>
              </w:rPr>
            </w:pPr>
            <w:r w:rsidRPr="00E94B7A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Bir yilga mo‘ljallangan raqobat to‘g‘risidagi qonun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chi</w:t>
            </w:r>
            <w:r w:rsidRPr="00E94B7A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lik hujjatlari talablarining buzilish xavflarini kamaytirish bo‘yi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cha</w:t>
            </w:r>
            <w:r w:rsidRPr="00E94B7A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 “Yo‘l xarita”sini monopoli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yag</w:t>
            </w:r>
            <w:r w:rsidRPr="00E94B7A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a qar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shi</w:t>
            </w:r>
            <w:r w:rsidRPr="00E94B7A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 organ bilan keli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shg</w:t>
            </w:r>
            <w:r w:rsidRPr="00E94B7A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an holda i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shl</w:t>
            </w:r>
            <w:r w:rsidRPr="00E94B7A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ab 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chi</w:t>
            </w:r>
            <w:r w:rsidRPr="00E94B7A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qib tasdiqlash.</w:t>
            </w:r>
          </w:p>
        </w:tc>
        <w:tc>
          <w:tcPr>
            <w:tcW w:w="1842" w:type="dxa"/>
          </w:tcPr>
          <w:p w14:paraId="58EEE273" w14:textId="77777777" w:rsidR="00702F51" w:rsidRPr="00702F51" w:rsidRDefault="00702F51" w:rsidP="00702F5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uz-Cyrl-UZ"/>
              </w:rPr>
            </w:pPr>
            <w:r w:rsidRPr="00702F51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Har yili </w:t>
            </w:r>
          </w:p>
          <w:p w14:paraId="2539789E" w14:textId="240F8E65" w:rsidR="00944E6E" w:rsidRPr="00CB7CEC" w:rsidRDefault="00702F51" w:rsidP="00702F51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en-US"/>
              </w:rPr>
            </w:pPr>
            <w:r w:rsidRPr="00702F51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2</w:t>
            </w:r>
            <w:r w:rsidR="00B2701D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5</w:t>
            </w:r>
            <w:r w:rsidR="00A47287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-</w:t>
            </w:r>
            <w:r w:rsidRPr="00702F51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dekabrga qadar</w:t>
            </w:r>
          </w:p>
        </w:tc>
        <w:tc>
          <w:tcPr>
            <w:tcW w:w="3119" w:type="dxa"/>
          </w:tcPr>
          <w:p w14:paraId="28D50CA8" w14:textId="75B1BB4F" w:rsidR="00944E6E" w:rsidRPr="00993FB0" w:rsidRDefault="00D81E87" w:rsidP="00187825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uz-Cyrl-UZ"/>
              </w:rPr>
            </w:pPr>
            <w:r w:rsidRPr="00993FB0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Monopoli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yag</w:t>
            </w:r>
            <w:r w:rsidRPr="00993FB0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a qar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shi</w:t>
            </w:r>
            <w:r w:rsidRPr="00993FB0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 kompla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yen</w:t>
            </w:r>
            <w:r w:rsidRPr="00993FB0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s tizimi bo‘yi</w:t>
            </w:r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cha</w:t>
            </w:r>
            <w:r w:rsidRPr="00993FB0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mas’ul</w:t>
            </w:r>
            <w:proofErr w:type="spellEnd"/>
            <w:r w:rsidR="00187825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 shaxs </w:t>
            </w:r>
          </w:p>
        </w:tc>
      </w:tr>
    </w:tbl>
    <w:p w14:paraId="10F767E5" w14:textId="77777777" w:rsidR="007D5563" w:rsidRPr="00957BE0" w:rsidRDefault="007D5563" w:rsidP="00957BE0">
      <w:pPr>
        <w:spacing w:after="0" w:line="240" w:lineRule="auto"/>
        <w:rPr>
          <w:rFonts w:eastAsia="Times New Roman" w:cstheme="minorHAnsi"/>
          <w:sz w:val="24"/>
          <w:szCs w:val="24"/>
          <w:lang w:val="uz-Cyrl-UZ" w:eastAsia="ru-RU"/>
        </w:rPr>
      </w:pPr>
    </w:p>
    <w:sectPr w:rsidR="007D5563" w:rsidRPr="00957BE0" w:rsidSect="003C5994">
      <w:headerReference w:type="default" r:id="rId7"/>
      <w:pgSz w:w="16838" w:h="11906" w:orient="landscape"/>
      <w:pgMar w:top="993" w:right="737" w:bottom="567" w:left="73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EA2761" w14:textId="77777777" w:rsidR="00240F39" w:rsidRDefault="00240F39" w:rsidP="0086416D">
      <w:pPr>
        <w:spacing w:after="0" w:line="240" w:lineRule="auto"/>
      </w:pPr>
      <w:r>
        <w:separator/>
      </w:r>
    </w:p>
  </w:endnote>
  <w:endnote w:type="continuationSeparator" w:id="0">
    <w:p w14:paraId="54E8A300" w14:textId="77777777" w:rsidR="00240F39" w:rsidRDefault="00240F39" w:rsidP="00864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37523B" w14:textId="77777777" w:rsidR="00240F39" w:rsidRDefault="00240F39" w:rsidP="0086416D">
      <w:pPr>
        <w:spacing w:after="0" w:line="240" w:lineRule="auto"/>
      </w:pPr>
      <w:r>
        <w:separator/>
      </w:r>
    </w:p>
  </w:footnote>
  <w:footnote w:type="continuationSeparator" w:id="0">
    <w:p w14:paraId="0AA2B057" w14:textId="77777777" w:rsidR="00240F39" w:rsidRDefault="00240F39" w:rsidP="00864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1304810331"/>
      <w:docPartObj>
        <w:docPartGallery w:val="Page Numbers (Top of Page)"/>
        <w:docPartUnique/>
      </w:docPartObj>
    </w:sdtPr>
    <w:sdtEndPr>
      <w:rPr>
        <w:rFonts w:asciiTheme="minorHAnsi" w:hAnsiTheme="minorHAnsi" w:cstheme="minorHAnsi"/>
        <w:sz w:val="22"/>
      </w:rPr>
    </w:sdtEndPr>
    <w:sdtContent>
      <w:p w14:paraId="0E88849B" w14:textId="56CF8D6D" w:rsidR="00D21B9C" w:rsidRPr="00957BE0" w:rsidRDefault="00D21B9C" w:rsidP="00957BE0">
        <w:pPr>
          <w:pStyle w:val="a6"/>
          <w:spacing w:after="120"/>
          <w:jc w:val="center"/>
          <w:rPr>
            <w:rFonts w:cstheme="minorHAnsi"/>
            <w:szCs w:val="24"/>
          </w:rPr>
        </w:pPr>
        <w:r w:rsidRPr="00957BE0">
          <w:rPr>
            <w:rFonts w:cstheme="minorHAnsi"/>
            <w:szCs w:val="24"/>
          </w:rPr>
          <w:fldChar w:fldCharType="begin"/>
        </w:r>
        <w:r w:rsidRPr="00957BE0">
          <w:rPr>
            <w:rFonts w:cstheme="minorHAnsi"/>
            <w:szCs w:val="24"/>
          </w:rPr>
          <w:instrText>PAGE   \* MERGEFORMAT</w:instrText>
        </w:r>
        <w:r w:rsidRPr="00957BE0">
          <w:rPr>
            <w:rFonts w:cstheme="minorHAnsi"/>
            <w:szCs w:val="24"/>
          </w:rPr>
          <w:fldChar w:fldCharType="separate"/>
        </w:r>
        <w:r w:rsidR="00187825">
          <w:rPr>
            <w:rFonts w:cstheme="minorHAnsi"/>
            <w:noProof/>
            <w:szCs w:val="24"/>
          </w:rPr>
          <w:t>3</w:t>
        </w:r>
        <w:r w:rsidRPr="00957BE0">
          <w:rPr>
            <w:rFonts w:cstheme="minorHAnsi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567E68"/>
    <w:multiLevelType w:val="hybridMultilevel"/>
    <w:tmpl w:val="BD169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B34C9D"/>
    <w:multiLevelType w:val="hybridMultilevel"/>
    <w:tmpl w:val="BCE09858"/>
    <w:lvl w:ilvl="0" w:tplc="7332B3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C645492"/>
    <w:multiLevelType w:val="hybridMultilevel"/>
    <w:tmpl w:val="3E5EE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F35EBB"/>
    <w:multiLevelType w:val="hybridMultilevel"/>
    <w:tmpl w:val="66DC7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E37AA5"/>
    <w:multiLevelType w:val="hybridMultilevel"/>
    <w:tmpl w:val="0E7CE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2C7A9D"/>
    <w:multiLevelType w:val="hybridMultilevel"/>
    <w:tmpl w:val="F2CAE3E2"/>
    <w:lvl w:ilvl="0" w:tplc="EB025166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320A21"/>
    <w:multiLevelType w:val="hybridMultilevel"/>
    <w:tmpl w:val="B03C6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C31"/>
    <w:rsid w:val="00002868"/>
    <w:rsid w:val="00012956"/>
    <w:rsid w:val="00014A34"/>
    <w:rsid w:val="000263A3"/>
    <w:rsid w:val="000266C2"/>
    <w:rsid w:val="000347EF"/>
    <w:rsid w:val="00034EEA"/>
    <w:rsid w:val="00036DC3"/>
    <w:rsid w:val="000408A9"/>
    <w:rsid w:val="000412DD"/>
    <w:rsid w:val="00041A33"/>
    <w:rsid w:val="00043069"/>
    <w:rsid w:val="000431C3"/>
    <w:rsid w:val="000454C8"/>
    <w:rsid w:val="00045AD6"/>
    <w:rsid w:val="00051D4B"/>
    <w:rsid w:val="0005369A"/>
    <w:rsid w:val="00055064"/>
    <w:rsid w:val="0007010B"/>
    <w:rsid w:val="00080088"/>
    <w:rsid w:val="00082B50"/>
    <w:rsid w:val="000868A6"/>
    <w:rsid w:val="00090BB7"/>
    <w:rsid w:val="00092576"/>
    <w:rsid w:val="00092693"/>
    <w:rsid w:val="0009342B"/>
    <w:rsid w:val="00095595"/>
    <w:rsid w:val="000961E0"/>
    <w:rsid w:val="00097F43"/>
    <w:rsid w:val="000B48F5"/>
    <w:rsid w:val="000B7735"/>
    <w:rsid w:val="000C01B2"/>
    <w:rsid w:val="000C071C"/>
    <w:rsid w:val="000C4AD7"/>
    <w:rsid w:val="000D0ABB"/>
    <w:rsid w:val="000D18A5"/>
    <w:rsid w:val="000D3931"/>
    <w:rsid w:val="000D447C"/>
    <w:rsid w:val="000D7495"/>
    <w:rsid w:val="000E0F1F"/>
    <w:rsid w:val="000E1439"/>
    <w:rsid w:val="000E1E34"/>
    <w:rsid w:val="000E5ECC"/>
    <w:rsid w:val="000E604F"/>
    <w:rsid w:val="000E7687"/>
    <w:rsid w:val="000F5BD3"/>
    <w:rsid w:val="00104928"/>
    <w:rsid w:val="00104B0F"/>
    <w:rsid w:val="001056B7"/>
    <w:rsid w:val="00115458"/>
    <w:rsid w:val="00117497"/>
    <w:rsid w:val="001203D5"/>
    <w:rsid w:val="0012052F"/>
    <w:rsid w:val="001210D5"/>
    <w:rsid w:val="00121E68"/>
    <w:rsid w:val="00124CE8"/>
    <w:rsid w:val="00124EFC"/>
    <w:rsid w:val="0012707D"/>
    <w:rsid w:val="00130223"/>
    <w:rsid w:val="00132F66"/>
    <w:rsid w:val="00140ED0"/>
    <w:rsid w:val="00146644"/>
    <w:rsid w:val="0016064A"/>
    <w:rsid w:val="00160CDF"/>
    <w:rsid w:val="00162B64"/>
    <w:rsid w:val="00165835"/>
    <w:rsid w:val="0017206F"/>
    <w:rsid w:val="00176C14"/>
    <w:rsid w:val="00182371"/>
    <w:rsid w:val="00182BD4"/>
    <w:rsid w:val="00187825"/>
    <w:rsid w:val="001917B5"/>
    <w:rsid w:val="00193C9E"/>
    <w:rsid w:val="001943FC"/>
    <w:rsid w:val="001A5CED"/>
    <w:rsid w:val="001B2E92"/>
    <w:rsid w:val="001B3FAE"/>
    <w:rsid w:val="001B4435"/>
    <w:rsid w:val="001B5A3B"/>
    <w:rsid w:val="001D1C53"/>
    <w:rsid w:val="001E2460"/>
    <w:rsid w:val="001E3618"/>
    <w:rsid w:val="001E5003"/>
    <w:rsid w:val="001E5B26"/>
    <w:rsid w:val="001E7289"/>
    <w:rsid w:val="001E7951"/>
    <w:rsid w:val="001F00DF"/>
    <w:rsid w:val="001F3999"/>
    <w:rsid w:val="00203BF3"/>
    <w:rsid w:val="00207608"/>
    <w:rsid w:val="00207939"/>
    <w:rsid w:val="00211EBB"/>
    <w:rsid w:val="00212625"/>
    <w:rsid w:val="00220C0D"/>
    <w:rsid w:val="00224322"/>
    <w:rsid w:val="00231E9A"/>
    <w:rsid w:val="00235D6D"/>
    <w:rsid w:val="00240E88"/>
    <w:rsid w:val="00240F39"/>
    <w:rsid w:val="00243414"/>
    <w:rsid w:val="002503DF"/>
    <w:rsid w:val="002517FA"/>
    <w:rsid w:val="0025215C"/>
    <w:rsid w:val="00255704"/>
    <w:rsid w:val="0025583A"/>
    <w:rsid w:val="00257650"/>
    <w:rsid w:val="00260681"/>
    <w:rsid w:val="00261C9A"/>
    <w:rsid w:val="002670CA"/>
    <w:rsid w:val="00275601"/>
    <w:rsid w:val="002834B1"/>
    <w:rsid w:val="00285356"/>
    <w:rsid w:val="0028717D"/>
    <w:rsid w:val="00295D9E"/>
    <w:rsid w:val="00297079"/>
    <w:rsid w:val="00297294"/>
    <w:rsid w:val="002A6094"/>
    <w:rsid w:val="002A718F"/>
    <w:rsid w:val="002A74F5"/>
    <w:rsid w:val="002B4C25"/>
    <w:rsid w:val="002B5044"/>
    <w:rsid w:val="002B6020"/>
    <w:rsid w:val="002C1D3C"/>
    <w:rsid w:val="002C2DB5"/>
    <w:rsid w:val="002C4C79"/>
    <w:rsid w:val="002C6CAB"/>
    <w:rsid w:val="002D0FA1"/>
    <w:rsid w:val="002D2AE0"/>
    <w:rsid w:val="002D6D1F"/>
    <w:rsid w:val="002E1F61"/>
    <w:rsid w:val="002E285E"/>
    <w:rsid w:val="002E5222"/>
    <w:rsid w:val="002E623B"/>
    <w:rsid w:val="002F1D90"/>
    <w:rsid w:val="002F3049"/>
    <w:rsid w:val="002F393A"/>
    <w:rsid w:val="002F7224"/>
    <w:rsid w:val="003007AA"/>
    <w:rsid w:val="00304A0D"/>
    <w:rsid w:val="00305A75"/>
    <w:rsid w:val="003120E2"/>
    <w:rsid w:val="003120F1"/>
    <w:rsid w:val="003125FD"/>
    <w:rsid w:val="00313CC0"/>
    <w:rsid w:val="00314A32"/>
    <w:rsid w:val="003202D5"/>
    <w:rsid w:val="00321C4D"/>
    <w:rsid w:val="003327C5"/>
    <w:rsid w:val="00332A9D"/>
    <w:rsid w:val="00342D27"/>
    <w:rsid w:val="00343C2C"/>
    <w:rsid w:val="00344371"/>
    <w:rsid w:val="00347B3B"/>
    <w:rsid w:val="003507E9"/>
    <w:rsid w:val="00356A79"/>
    <w:rsid w:val="00362DEA"/>
    <w:rsid w:val="0036677D"/>
    <w:rsid w:val="003752A6"/>
    <w:rsid w:val="003774AA"/>
    <w:rsid w:val="00383BC1"/>
    <w:rsid w:val="00387713"/>
    <w:rsid w:val="003911D2"/>
    <w:rsid w:val="003A122E"/>
    <w:rsid w:val="003B0413"/>
    <w:rsid w:val="003B5FB5"/>
    <w:rsid w:val="003C5994"/>
    <w:rsid w:val="003D23CD"/>
    <w:rsid w:val="003D2B06"/>
    <w:rsid w:val="003D3A7D"/>
    <w:rsid w:val="003D4F1B"/>
    <w:rsid w:val="003D5326"/>
    <w:rsid w:val="003E3C50"/>
    <w:rsid w:val="003F06B9"/>
    <w:rsid w:val="003F141B"/>
    <w:rsid w:val="003F1F14"/>
    <w:rsid w:val="003F2F49"/>
    <w:rsid w:val="00401D6B"/>
    <w:rsid w:val="00403FA5"/>
    <w:rsid w:val="004071DA"/>
    <w:rsid w:val="0041497C"/>
    <w:rsid w:val="0041637F"/>
    <w:rsid w:val="0042032D"/>
    <w:rsid w:val="004208EF"/>
    <w:rsid w:val="00422DD7"/>
    <w:rsid w:val="0042300E"/>
    <w:rsid w:val="00425421"/>
    <w:rsid w:val="00430456"/>
    <w:rsid w:val="00440EE3"/>
    <w:rsid w:val="00443D85"/>
    <w:rsid w:val="00444BBB"/>
    <w:rsid w:val="00445104"/>
    <w:rsid w:val="0045360E"/>
    <w:rsid w:val="00456F1D"/>
    <w:rsid w:val="0046243E"/>
    <w:rsid w:val="00472F55"/>
    <w:rsid w:val="0047409F"/>
    <w:rsid w:val="004752BE"/>
    <w:rsid w:val="00475964"/>
    <w:rsid w:val="00476831"/>
    <w:rsid w:val="0048491E"/>
    <w:rsid w:val="00484F27"/>
    <w:rsid w:val="004936C9"/>
    <w:rsid w:val="00495F66"/>
    <w:rsid w:val="0049602B"/>
    <w:rsid w:val="004975C8"/>
    <w:rsid w:val="004B10C8"/>
    <w:rsid w:val="004B276F"/>
    <w:rsid w:val="004C0AD5"/>
    <w:rsid w:val="004C1469"/>
    <w:rsid w:val="004C344A"/>
    <w:rsid w:val="004C48E7"/>
    <w:rsid w:val="004D0B45"/>
    <w:rsid w:val="004F14DC"/>
    <w:rsid w:val="004F6C31"/>
    <w:rsid w:val="004F7161"/>
    <w:rsid w:val="005009E9"/>
    <w:rsid w:val="00505EA4"/>
    <w:rsid w:val="005071B5"/>
    <w:rsid w:val="00523603"/>
    <w:rsid w:val="00523B00"/>
    <w:rsid w:val="00525324"/>
    <w:rsid w:val="005351EA"/>
    <w:rsid w:val="005479EB"/>
    <w:rsid w:val="00562A82"/>
    <w:rsid w:val="00564A97"/>
    <w:rsid w:val="00565863"/>
    <w:rsid w:val="00574DC3"/>
    <w:rsid w:val="0057752E"/>
    <w:rsid w:val="005811E5"/>
    <w:rsid w:val="005818A6"/>
    <w:rsid w:val="0058535B"/>
    <w:rsid w:val="00593154"/>
    <w:rsid w:val="00593AB3"/>
    <w:rsid w:val="005A186B"/>
    <w:rsid w:val="005B1233"/>
    <w:rsid w:val="005B42FC"/>
    <w:rsid w:val="005B66F6"/>
    <w:rsid w:val="005B7F06"/>
    <w:rsid w:val="005C1F96"/>
    <w:rsid w:val="005C6D2B"/>
    <w:rsid w:val="005D4EF4"/>
    <w:rsid w:val="005D6B0F"/>
    <w:rsid w:val="005E0EBE"/>
    <w:rsid w:val="005E35B1"/>
    <w:rsid w:val="005E4C93"/>
    <w:rsid w:val="005F17E9"/>
    <w:rsid w:val="005F1F08"/>
    <w:rsid w:val="005F5A6B"/>
    <w:rsid w:val="005F5E9A"/>
    <w:rsid w:val="005F67C3"/>
    <w:rsid w:val="005F6DC5"/>
    <w:rsid w:val="005F7352"/>
    <w:rsid w:val="00610C98"/>
    <w:rsid w:val="006113E3"/>
    <w:rsid w:val="0061169A"/>
    <w:rsid w:val="00611DD2"/>
    <w:rsid w:val="00614316"/>
    <w:rsid w:val="0061674A"/>
    <w:rsid w:val="0062419B"/>
    <w:rsid w:val="006357A7"/>
    <w:rsid w:val="00636016"/>
    <w:rsid w:val="00636DE0"/>
    <w:rsid w:val="00641C94"/>
    <w:rsid w:val="00646B22"/>
    <w:rsid w:val="00646B83"/>
    <w:rsid w:val="00646CA4"/>
    <w:rsid w:val="0065403C"/>
    <w:rsid w:val="00660041"/>
    <w:rsid w:val="00665607"/>
    <w:rsid w:val="00672D20"/>
    <w:rsid w:val="00674B0C"/>
    <w:rsid w:val="006824B1"/>
    <w:rsid w:val="00682540"/>
    <w:rsid w:val="00686FA1"/>
    <w:rsid w:val="00691FFD"/>
    <w:rsid w:val="00692129"/>
    <w:rsid w:val="006947FB"/>
    <w:rsid w:val="006978A6"/>
    <w:rsid w:val="00697C7A"/>
    <w:rsid w:val="006A0B90"/>
    <w:rsid w:val="006A29D2"/>
    <w:rsid w:val="006B0A64"/>
    <w:rsid w:val="006B0CD7"/>
    <w:rsid w:val="006B4844"/>
    <w:rsid w:val="006B67AD"/>
    <w:rsid w:val="006C4485"/>
    <w:rsid w:val="006D7E7C"/>
    <w:rsid w:val="006F05AB"/>
    <w:rsid w:val="006F74AB"/>
    <w:rsid w:val="00700BBF"/>
    <w:rsid w:val="00702F51"/>
    <w:rsid w:val="0070636A"/>
    <w:rsid w:val="00706C52"/>
    <w:rsid w:val="00712468"/>
    <w:rsid w:val="00714147"/>
    <w:rsid w:val="007179CA"/>
    <w:rsid w:val="0072044E"/>
    <w:rsid w:val="007207DB"/>
    <w:rsid w:val="00723219"/>
    <w:rsid w:val="007355DD"/>
    <w:rsid w:val="0074067D"/>
    <w:rsid w:val="0074230F"/>
    <w:rsid w:val="007479EB"/>
    <w:rsid w:val="0075058D"/>
    <w:rsid w:val="00750AB0"/>
    <w:rsid w:val="00752AB0"/>
    <w:rsid w:val="00754A52"/>
    <w:rsid w:val="00760CE0"/>
    <w:rsid w:val="00764B6F"/>
    <w:rsid w:val="007728B7"/>
    <w:rsid w:val="00772FAD"/>
    <w:rsid w:val="00773F3B"/>
    <w:rsid w:val="0077450F"/>
    <w:rsid w:val="00782EBC"/>
    <w:rsid w:val="00786627"/>
    <w:rsid w:val="00790BD9"/>
    <w:rsid w:val="0079310A"/>
    <w:rsid w:val="007B5F83"/>
    <w:rsid w:val="007C020B"/>
    <w:rsid w:val="007D12DA"/>
    <w:rsid w:val="007D3F36"/>
    <w:rsid w:val="007D5563"/>
    <w:rsid w:val="007E3AFC"/>
    <w:rsid w:val="007E59D3"/>
    <w:rsid w:val="007F5F06"/>
    <w:rsid w:val="00803F9B"/>
    <w:rsid w:val="008047B3"/>
    <w:rsid w:val="00805085"/>
    <w:rsid w:val="00806881"/>
    <w:rsid w:val="00806B8E"/>
    <w:rsid w:val="008114C7"/>
    <w:rsid w:val="00817220"/>
    <w:rsid w:val="0081777E"/>
    <w:rsid w:val="00823289"/>
    <w:rsid w:val="00832C31"/>
    <w:rsid w:val="00834065"/>
    <w:rsid w:val="00835014"/>
    <w:rsid w:val="00837804"/>
    <w:rsid w:val="00843CFE"/>
    <w:rsid w:val="00860B16"/>
    <w:rsid w:val="0086416D"/>
    <w:rsid w:val="008667E2"/>
    <w:rsid w:val="00877D7C"/>
    <w:rsid w:val="00877EC5"/>
    <w:rsid w:val="008812F6"/>
    <w:rsid w:val="00881AAD"/>
    <w:rsid w:val="00892925"/>
    <w:rsid w:val="00893FD5"/>
    <w:rsid w:val="008A4BE6"/>
    <w:rsid w:val="008A4E9E"/>
    <w:rsid w:val="008C333A"/>
    <w:rsid w:val="008C40FA"/>
    <w:rsid w:val="008C4711"/>
    <w:rsid w:val="008D24DE"/>
    <w:rsid w:val="008D2D9E"/>
    <w:rsid w:val="008E22BC"/>
    <w:rsid w:val="008E4EAE"/>
    <w:rsid w:val="008E7527"/>
    <w:rsid w:val="008F2921"/>
    <w:rsid w:val="008F4751"/>
    <w:rsid w:val="008F7333"/>
    <w:rsid w:val="009079BC"/>
    <w:rsid w:val="009207E2"/>
    <w:rsid w:val="00921B4E"/>
    <w:rsid w:val="00932ED9"/>
    <w:rsid w:val="009345F0"/>
    <w:rsid w:val="009350C5"/>
    <w:rsid w:val="00935D76"/>
    <w:rsid w:val="009371CB"/>
    <w:rsid w:val="00940884"/>
    <w:rsid w:val="00942354"/>
    <w:rsid w:val="009428CF"/>
    <w:rsid w:val="00944E6E"/>
    <w:rsid w:val="0094592B"/>
    <w:rsid w:val="00947974"/>
    <w:rsid w:val="0095192F"/>
    <w:rsid w:val="00951FF4"/>
    <w:rsid w:val="0095507B"/>
    <w:rsid w:val="009564D8"/>
    <w:rsid w:val="009579B3"/>
    <w:rsid w:val="00957BE0"/>
    <w:rsid w:val="00972196"/>
    <w:rsid w:val="00972781"/>
    <w:rsid w:val="00973DD8"/>
    <w:rsid w:val="009757F1"/>
    <w:rsid w:val="009772A3"/>
    <w:rsid w:val="0098444A"/>
    <w:rsid w:val="00985FB5"/>
    <w:rsid w:val="009871FA"/>
    <w:rsid w:val="00993BEB"/>
    <w:rsid w:val="00993FB0"/>
    <w:rsid w:val="009A2025"/>
    <w:rsid w:val="009A71A9"/>
    <w:rsid w:val="009A71EB"/>
    <w:rsid w:val="009B533E"/>
    <w:rsid w:val="009C14C9"/>
    <w:rsid w:val="009C2004"/>
    <w:rsid w:val="009C5CA8"/>
    <w:rsid w:val="009C639A"/>
    <w:rsid w:val="009D2401"/>
    <w:rsid w:val="009D265A"/>
    <w:rsid w:val="009E29A4"/>
    <w:rsid w:val="009E3178"/>
    <w:rsid w:val="009F1DA2"/>
    <w:rsid w:val="00A011C4"/>
    <w:rsid w:val="00A01960"/>
    <w:rsid w:val="00A06331"/>
    <w:rsid w:val="00A1312C"/>
    <w:rsid w:val="00A17AD8"/>
    <w:rsid w:val="00A20D89"/>
    <w:rsid w:val="00A20F7A"/>
    <w:rsid w:val="00A225B5"/>
    <w:rsid w:val="00A27B47"/>
    <w:rsid w:val="00A313C3"/>
    <w:rsid w:val="00A3380F"/>
    <w:rsid w:val="00A35B04"/>
    <w:rsid w:val="00A432B2"/>
    <w:rsid w:val="00A44682"/>
    <w:rsid w:val="00A47287"/>
    <w:rsid w:val="00A5065D"/>
    <w:rsid w:val="00A54AB4"/>
    <w:rsid w:val="00A62F10"/>
    <w:rsid w:val="00A83A8A"/>
    <w:rsid w:val="00A84011"/>
    <w:rsid w:val="00A84C94"/>
    <w:rsid w:val="00A87B50"/>
    <w:rsid w:val="00A9125E"/>
    <w:rsid w:val="00A92EFD"/>
    <w:rsid w:val="00A96C04"/>
    <w:rsid w:val="00AA1617"/>
    <w:rsid w:val="00AA5900"/>
    <w:rsid w:val="00AB0B09"/>
    <w:rsid w:val="00AC5BF5"/>
    <w:rsid w:val="00AC632D"/>
    <w:rsid w:val="00AD00A1"/>
    <w:rsid w:val="00AD0AA6"/>
    <w:rsid w:val="00AE0733"/>
    <w:rsid w:val="00AE30C8"/>
    <w:rsid w:val="00AE6DC4"/>
    <w:rsid w:val="00AF2CE1"/>
    <w:rsid w:val="00AF46AA"/>
    <w:rsid w:val="00AF69D8"/>
    <w:rsid w:val="00B02C07"/>
    <w:rsid w:val="00B0508F"/>
    <w:rsid w:val="00B06BD5"/>
    <w:rsid w:val="00B258C9"/>
    <w:rsid w:val="00B2693A"/>
    <w:rsid w:val="00B2701D"/>
    <w:rsid w:val="00B27050"/>
    <w:rsid w:val="00B27A27"/>
    <w:rsid w:val="00B30D2A"/>
    <w:rsid w:val="00B3650D"/>
    <w:rsid w:val="00B435C2"/>
    <w:rsid w:val="00B459F6"/>
    <w:rsid w:val="00B465E3"/>
    <w:rsid w:val="00B505DF"/>
    <w:rsid w:val="00B5470D"/>
    <w:rsid w:val="00B6029E"/>
    <w:rsid w:val="00B6047A"/>
    <w:rsid w:val="00B607AA"/>
    <w:rsid w:val="00B6303F"/>
    <w:rsid w:val="00B66363"/>
    <w:rsid w:val="00B722C3"/>
    <w:rsid w:val="00B7656C"/>
    <w:rsid w:val="00B8455B"/>
    <w:rsid w:val="00B9185D"/>
    <w:rsid w:val="00B92AC2"/>
    <w:rsid w:val="00B97D5D"/>
    <w:rsid w:val="00BA0762"/>
    <w:rsid w:val="00BA5804"/>
    <w:rsid w:val="00BB3DFA"/>
    <w:rsid w:val="00BC10E2"/>
    <w:rsid w:val="00BC41AB"/>
    <w:rsid w:val="00BD0B14"/>
    <w:rsid w:val="00BD2257"/>
    <w:rsid w:val="00BD33A6"/>
    <w:rsid w:val="00C00547"/>
    <w:rsid w:val="00C01D2F"/>
    <w:rsid w:val="00C061A7"/>
    <w:rsid w:val="00C11291"/>
    <w:rsid w:val="00C11E95"/>
    <w:rsid w:val="00C33582"/>
    <w:rsid w:val="00C35E19"/>
    <w:rsid w:val="00C432E5"/>
    <w:rsid w:val="00C442AF"/>
    <w:rsid w:val="00C44411"/>
    <w:rsid w:val="00C470BD"/>
    <w:rsid w:val="00C47386"/>
    <w:rsid w:val="00C47460"/>
    <w:rsid w:val="00C55ECB"/>
    <w:rsid w:val="00C6244E"/>
    <w:rsid w:val="00C626C6"/>
    <w:rsid w:val="00C651AF"/>
    <w:rsid w:val="00C65326"/>
    <w:rsid w:val="00C65E07"/>
    <w:rsid w:val="00C72BF0"/>
    <w:rsid w:val="00C741C5"/>
    <w:rsid w:val="00C743A0"/>
    <w:rsid w:val="00C75EB2"/>
    <w:rsid w:val="00C76252"/>
    <w:rsid w:val="00C86654"/>
    <w:rsid w:val="00C95E14"/>
    <w:rsid w:val="00C96ED2"/>
    <w:rsid w:val="00CA0F6B"/>
    <w:rsid w:val="00CB0CEE"/>
    <w:rsid w:val="00CB328A"/>
    <w:rsid w:val="00CB3984"/>
    <w:rsid w:val="00CB6F1E"/>
    <w:rsid w:val="00CB7CEC"/>
    <w:rsid w:val="00CC3DE9"/>
    <w:rsid w:val="00CD4E7F"/>
    <w:rsid w:val="00CD5974"/>
    <w:rsid w:val="00CE09FF"/>
    <w:rsid w:val="00CE0FF9"/>
    <w:rsid w:val="00CF0FEB"/>
    <w:rsid w:val="00CF2C74"/>
    <w:rsid w:val="00D015BF"/>
    <w:rsid w:val="00D017CF"/>
    <w:rsid w:val="00D02E15"/>
    <w:rsid w:val="00D03152"/>
    <w:rsid w:val="00D06939"/>
    <w:rsid w:val="00D117E0"/>
    <w:rsid w:val="00D11C64"/>
    <w:rsid w:val="00D11D32"/>
    <w:rsid w:val="00D1353D"/>
    <w:rsid w:val="00D15FEC"/>
    <w:rsid w:val="00D163C8"/>
    <w:rsid w:val="00D172C7"/>
    <w:rsid w:val="00D20C35"/>
    <w:rsid w:val="00D21B9C"/>
    <w:rsid w:val="00D21C43"/>
    <w:rsid w:val="00D234B6"/>
    <w:rsid w:val="00D3082F"/>
    <w:rsid w:val="00D31A56"/>
    <w:rsid w:val="00D37A84"/>
    <w:rsid w:val="00D410F3"/>
    <w:rsid w:val="00D42E22"/>
    <w:rsid w:val="00D50092"/>
    <w:rsid w:val="00D50194"/>
    <w:rsid w:val="00D52081"/>
    <w:rsid w:val="00D5278B"/>
    <w:rsid w:val="00D5433F"/>
    <w:rsid w:val="00D675A7"/>
    <w:rsid w:val="00D70CF2"/>
    <w:rsid w:val="00D74C81"/>
    <w:rsid w:val="00D765CB"/>
    <w:rsid w:val="00D81E87"/>
    <w:rsid w:val="00D843DC"/>
    <w:rsid w:val="00D84BCC"/>
    <w:rsid w:val="00D85163"/>
    <w:rsid w:val="00D905F6"/>
    <w:rsid w:val="00D9165B"/>
    <w:rsid w:val="00D96344"/>
    <w:rsid w:val="00DA26ED"/>
    <w:rsid w:val="00DA2C76"/>
    <w:rsid w:val="00DA3EEB"/>
    <w:rsid w:val="00DA4C90"/>
    <w:rsid w:val="00DC1DDB"/>
    <w:rsid w:val="00DC4C96"/>
    <w:rsid w:val="00DC67F1"/>
    <w:rsid w:val="00DD18E0"/>
    <w:rsid w:val="00DE1395"/>
    <w:rsid w:val="00DE4477"/>
    <w:rsid w:val="00DE79B0"/>
    <w:rsid w:val="00DF2A15"/>
    <w:rsid w:val="00E06187"/>
    <w:rsid w:val="00E1199A"/>
    <w:rsid w:val="00E142A4"/>
    <w:rsid w:val="00E15A94"/>
    <w:rsid w:val="00E22D08"/>
    <w:rsid w:val="00E23DE6"/>
    <w:rsid w:val="00E26DC1"/>
    <w:rsid w:val="00E27641"/>
    <w:rsid w:val="00E30AE9"/>
    <w:rsid w:val="00E319F1"/>
    <w:rsid w:val="00E32CB3"/>
    <w:rsid w:val="00E33A46"/>
    <w:rsid w:val="00E3699C"/>
    <w:rsid w:val="00E372C6"/>
    <w:rsid w:val="00E43355"/>
    <w:rsid w:val="00E433DE"/>
    <w:rsid w:val="00E45952"/>
    <w:rsid w:val="00E5101C"/>
    <w:rsid w:val="00E70E68"/>
    <w:rsid w:val="00E72771"/>
    <w:rsid w:val="00E74D6D"/>
    <w:rsid w:val="00E804BE"/>
    <w:rsid w:val="00E85296"/>
    <w:rsid w:val="00E86101"/>
    <w:rsid w:val="00E9208E"/>
    <w:rsid w:val="00E924B9"/>
    <w:rsid w:val="00E92A2C"/>
    <w:rsid w:val="00E94798"/>
    <w:rsid w:val="00E94B7A"/>
    <w:rsid w:val="00E94FE6"/>
    <w:rsid w:val="00E9612A"/>
    <w:rsid w:val="00E9717F"/>
    <w:rsid w:val="00EA230C"/>
    <w:rsid w:val="00EA26AF"/>
    <w:rsid w:val="00EA3B69"/>
    <w:rsid w:val="00EA62B8"/>
    <w:rsid w:val="00EB1C22"/>
    <w:rsid w:val="00EB37EC"/>
    <w:rsid w:val="00EB3A4A"/>
    <w:rsid w:val="00EB47FE"/>
    <w:rsid w:val="00EB5263"/>
    <w:rsid w:val="00EB6C29"/>
    <w:rsid w:val="00EB7669"/>
    <w:rsid w:val="00EC6D10"/>
    <w:rsid w:val="00EC6FF9"/>
    <w:rsid w:val="00EC77C2"/>
    <w:rsid w:val="00ED2FEC"/>
    <w:rsid w:val="00ED66E7"/>
    <w:rsid w:val="00EE5D99"/>
    <w:rsid w:val="00EE7FA1"/>
    <w:rsid w:val="00EF23A1"/>
    <w:rsid w:val="00EF3445"/>
    <w:rsid w:val="00F00A2B"/>
    <w:rsid w:val="00F03658"/>
    <w:rsid w:val="00F0740D"/>
    <w:rsid w:val="00F23572"/>
    <w:rsid w:val="00F26497"/>
    <w:rsid w:val="00F3014F"/>
    <w:rsid w:val="00F31633"/>
    <w:rsid w:val="00F371EB"/>
    <w:rsid w:val="00F416F8"/>
    <w:rsid w:val="00F424E3"/>
    <w:rsid w:val="00F45318"/>
    <w:rsid w:val="00F45A37"/>
    <w:rsid w:val="00F472B0"/>
    <w:rsid w:val="00F52F59"/>
    <w:rsid w:val="00F60136"/>
    <w:rsid w:val="00F6361E"/>
    <w:rsid w:val="00F65730"/>
    <w:rsid w:val="00F67362"/>
    <w:rsid w:val="00F70478"/>
    <w:rsid w:val="00F831D8"/>
    <w:rsid w:val="00F85037"/>
    <w:rsid w:val="00F9053F"/>
    <w:rsid w:val="00FA10E7"/>
    <w:rsid w:val="00FA6482"/>
    <w:rsid w:val="00FA7726"/>
    <w:rsid w:val="00FA7CEF"/>
    <w:rsid w:val="00FB1628"/>
    <w:rsid w:val="00FB1C63"/>
    <w:rsid w:val="00FB4D52"/>
    <w:rsid w:val="00FB74BC"/>
    <w:rsid w:val="00FC1E6C"/>
    <w:rsid w:val="00FC2E0A"/>
    <w:rsid w:val="00FC4854"/>
    <w:rsid w:val="00FC7ADC"/>
    <w:rsid w:val="00FD11A4"/>
    <w:rsid w:val="00FD5ABD"/>
    <w:rsid w:val="00FD65FF"/>
    <w:rsid w:val="00FE6577"/>
    <w:rsid w:val="00FE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0FCA0"/>
  <w15:chartTrackingRefBased/>
  <w15:docId w15:val="{15F64630-B95F-486C-ADEC-6C994E046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6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717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70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864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6416D"/>
  </w:style>
  <w:style w:type="paragraph" w:styleId="a8">
    <w:name w:val="footer"/>
    <w:basedOn w:val="a"/>
    <w:link w:val="a9"/>
    <w:uiPriority w:val="99"/>
    <w:unhideWhenUsed/>
    <w:rsid w:val="00864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416D"/>
  </w:style>
  <w:style w:type="character" w:styleId="aa">
    <w:name w:val="annotation reference"/>
    <w:basedOn w:val="a0"/>
    <w:uiPriority w:val="99"/>
    <w:semiHidden/>
    <w:unhideWhenUsed/>
    <w:rsid w:val="000C4AD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C4AD7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C4AD7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C4AD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C4AD7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0C4A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0C4AD7"/>
    <w:rPr>
      <w:rFonts w:ascii="Segoe UI" w:hAnsi="Segoe UI" w:cs="Segoe UI"/>
      <w:sz w:val="18"/>
      <w:szCs w:val="18"/>
    </w:rPr>
  </w:style>
  <w:style w:type="character" w:styleId="af1">
    <w:name w:val="Emphasis"/>
    <w:basedOn w:val="a0"/>
    <w:uiPriority w:val="20"/>
    <w:qFormat/>
    <w:rsid w:val="00193C9E"/>
    <w:rPr>
      <w:i/>
      <w:iCs/>
    </w:rPr>
  </w:style>
  <w:style w:type="character" w:styleId="af2">
    <w:name w:val="Strong"/>
    <w:basedOn w:val="a0"/>
    <w:uiPriority w:val="22"/>
    <w:qFormat/>
    <w:rsid w:val="001B3F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Карим Э. Маматов</dc:creator>
  <cp:keywords/>
  <dc:description/>
  <cp:lastModifiedBy>Пользователь</cp:lastModifiedBy>
  <cp:revision>9</cp:revision>
  <cp:lastPrinted>2022-03-03T10:17:00Z</cp:lastPrinted>
  <dcterms:created xsi:type="dcterms:W3CDTF">2024-07-05T09:50:00Z</dcterms:created>
  <dcterms:modified xsi:type="dcterms:W3CDTF">2026-02-25T10:27:00Z</dcterms:modified>
</cp:coreProperties>
</file>