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306E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1A55D098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69300885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 Правительством  Кыргызской  Республики</w:t>
      </w:r>
    </w:p>
    <w:p w14:paraId="72C3C415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о принципах взимания косвенных налогов</w:t>
      </w:r>
    </w:p>
    <w:p w14:paraId="5B465DCD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при экспорте и импорте товаров</w:t>
      </w:r>
    </w:p>
    <w:p w14:paraId="35896B33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(работ, услуг)</w:t>
      </w:r>
    </w:p>
    <w:p w14:paraId="73E24250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16FF82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Бишкек, 20 сентября 1997 г.</w:t>
      </w:r>
    </w:p>
    <w:p w14:paraId="6F54EF3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86A451C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Утверждено Постановлением КМ РУз</w:t>
      </w:r>
    </w:p>
    <w:p w14:paraId="0FEA1020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от 11 октября 1997 года  N 475</w:t>
      </w:r>
    </w:p>
    <w:p w14:paraId="21796402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8FE660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Вступило в силу 22 апреля 1998 года</w:t>
      </w:r>
    </w:p>
    <w:p w14:paraId="629D41C8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5F17FAE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CBC10DF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См. текст документа</w:t>
      </w:r>
    </w:p>
    <w:p w14:paraId="35E032F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14:paraId="75104CE0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D622617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95BE573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Общие определения</w:t>
      </w:r>
    </w:p>
    <w:p w14:paraId="257E1CE2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Принцип взимания при экспорте</w:t>
      </w:r>
    </w:p>
    <w:p w14:paraId="7226D51A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Принцип взимания при импорте</w:t>
      </w:r>
    </w:p>
    <w:p w14:paraId="56CA3FD4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Разрешение спорных вопросов</w:t>
      </w:r>
    </w:p>
    <w:p w14:paraId="27FF8BBF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Вступление в силу</w:t>
      </w:r>
    </w:p>
    <w:p w14:paraId="11A0EF2A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603CA63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A7837A5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Правительство Республики Узбекистан и Правительство Кыргызской Республики, именуемые в дальнейшем Договаривающиеся Стороны,</w:t>
      </w:r>
    </w:p>
    <w:p w14:paraId="30FB7C33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стремясь к развитию торгово-экономического сотрудничества Республикой Узбекистан и Кыргызской Республики на основе равенства и взаимной выгоды,</w:t>
      </w:r>
    </w:p>
    <w:p w14:paraId="3AD88067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ориентируясь на общепринятые нормы и правила международной торговли,</w:t>
      </w:r>
    </w:p>
    <w:p w14:paraId="1EC2BB06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согласились о нижеследующем:</w:t>
      </w:r>
    </w:p>
    <w:p w14:paraId="2F8D933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555B477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3F9335E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Общие определения</w:t>
      </w:r>
    </w:p>
    <w:p w14:paraId="2A34537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47316E2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целях настоящего Соглашения:</w:t>
      </w:r>
    </w:p>
    <w:p w14:paraId="3E41B258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963B66D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термин ”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косвенные налоги</w:t>
      </w:r>
      <w:r>
        <w:rPr>
          <w:rFonts w:ascii="Times New Roman" w:hAnsi="Times New Roman" w:cs="Times New Roman"/>
          <w:noProof/>
          <w:sz w:val="24"/>
          <w:szCs w:val="24"/>
        </w:rPr>
        <w:t>” означает  налог на добавленную стоимость и акцизный налог;</w:t>
      </w:r>
    </w:p>
    <w:p w14:paraId="015A795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6EE07A7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b) термин ”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нулевая ставка</w:t>
      </w:r>
      <w:r>
        <w:rPr>
          <w:rFonts w:ascii="Times New Roman" w:hAnsi="Times New Roman" w:cs="Times New Roman"/>
          <w:noProof/>
          <w:sz w:val="24"/>
          <w:szCs w:val="24"/>
        </w:rPr>
        <w:t>” означает обложение налогом на добавленную стоимость по ставке ноль процентов, в соответствии с налоговым законодательством Договаривающихся Сторон;</w:t>
      </w:r>
    </w:p>
    <w:p w14:paraId="74A84D9C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7B64AFF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c) термин ”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компетентный орган</w:t>
      </w:r>
      <w:r>
        <w:rPr>
          <w:rFonts w:ascii="Times New Roman" w:hAnsi="Times New Roman" w:cs="Times New Roman"/>
          <w:noProof/>
          <w:sz w:val="24"/>
          <w:szCs w:val="24"/>
        </w:rPr>
        <w:t>” означает министерства финансов Договаривающихся Сторон.</w:t>
      </w:r>
    </w:p>
    <w:p w14:paraId="276821D5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0E6B255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D544B70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Принцип взимания при экспорте</w:t>
      </w:r>
    </w:p>
    <w:p w14:paraId="75DEB205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B605BB4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1. Одна Договаривающаяся Сторона не будет облагать косвенными налогами товары (работы, услуги), экспортируемые в другую Договаривающуюся Сторону.</w:t>
      </w:r>
    </w:p>
    <w:p w14:paraId="3AAB0C31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EFF7AC2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Правило пункта 1 настоящей Статьи в отношении налога на добавленную стоимость означает применение нулевой ставки.</w:t>
      </w:r>
    </w:p>
    <w:p w14:paraId="3A153ED7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C189A31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6E02CB5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Принцип взимания при импорте</w:t>
      </w:r>
    </w:p>
    <w:p w14:paraId="511FEC9A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0C4A96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Импортированные на территорию одной Договаривающейся Стороны товары (работы, услуги), которые экспортированы с территории другой Договаривающейся Стороны, облагаются косвенными налогами в стране-импортере согласно его законодательству. Обложение косвенными налогами осуществляется таможенными органами при импорте товаров на таможенную территорию Договаривающейся Стороны-импортера.</w:t>
      </w:r>
    </w:p>
    <w:p w14:paraId="23A3F657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42E2F3C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При обложении импорта товаров (работ, услуг), экспортируемых с территории другой Договаривающейся Стороны, Договаривающиеся Стороны будут применять ставки налогов, установленные законодательством Договаривающихся Сторон.</w:t>
      </w:r>
    </w:p>
    <w:p w14:paraId="5AD70383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5AE95F4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Налог на добавленную стоимость по импортируемым товарам взимается с таможенной стоимости товаров без вычета акцизного налога и таможенных пошлин.</w:t>
      </w:r>
    </w:p>
    <w:p w14:paraId="15BB718F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3002C1A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8A8C147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Разрешение спорных вопросов</w:t>
      </w:r>
    </w:p>
    <w:p w14:paraId="0D0BA6D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30C9572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Разногласия между Договаривающимися Сторонами относительно толкования и применения положений настоящего Соглашения будут решены путем консультаций и переговоров между компетентными органами Договаривающихся Сторон.</w:t>
      </w:r>
    </w:p>
    <w:p w14:paraId="64CDFC3F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D52E1D1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Договаривающиеся Стороны в рамках законодательства своих государств будут предпринимать согласованные действия, направленные на создание идентичной системы косвенного налогообложения при торговле с третьими странами. Компетентные органы разработают конкретный порядок действия настоящего пункта, с учетом положений ранее достигнутых договоренностей в области сотрудничества и взаимной помощи по вопросам соблюдения налогового законодательства.</w:t>
      </w:r>
    </w:p>
    <w:p w14:paraId="7FADDC1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BE1AEBB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BF91B52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Вступление в силу</w:t>
      </w:r>
    </w:p>
    <w:p w14:paraId="0E99D509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E8E6F3F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Настоящее Соглашение вступает в силу с даты обмена дипломатическими нотами о выполнении Договаривающимися Сторонами внутригосударственных процедур, необходимых в соответствии с их национальным законодательством для вступления в силу настоящего Соглашения и будет оставаться в силе до истечения двенадцати месяцев с даты, когда одна из Договаривающихся Сторон направит письменное уведомление о намерении прекратить его действие.</w:t>
      </w:r>
    </w:p>
    <w:p w14:paraId="794E8778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4B000A7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Настоящее Соглашение будет применяться только в отношении товаров (работ, услуг), поставленных после его вступления в силу.</w:t>
      </w:r>
    </w:p>
    <w:p w14:paraId="7F15DC75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4B773E3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CE576DA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Совершено в городе Бишкеке 20 сентября 1997 года в двух экземплярах, каждый на узбекском, кыргызском и русском языках, причем все тексты имеют одинаковую силу.</w:t>
      </w:r>
    </w:p>
    <w:p w14:paraId="5A0D4330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 целей толкования положений настоящего Соглашения используется текст на русском языке.</w:t>
      </w:r>
    </w:p>
    <w:p w14:paraId="49D778E8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A462868" w14:textId="77777777" w:rsidR="00D72829" w:rsidRDefault="00D72829" w:rsidP="00D7282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0890C9A" w14:textId="77777777" w:rsidR="00444D04" w:rsidRDefault="00444D04"/>
    <w:sectPr w:rsidR="00444D04" w:rsidSect="0074748B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29"/>
    <w:rsid w:val="00444D04"/>
    <w:rsid w:val="006B4E4E"/>
    <w:rsid w:val="00AB4194"/>
    <w:rsid w:val="00D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2D19"/>
  <w15:docId w15:val="{9106AD14-8137-4ECA-A36B-33BB89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2024-06-11T09:58:00Z</dcterms:created>
  <dcterms:modified xsi:type="dcterms:W3CDTF">2024-06-11T09:58:00Z</dcterms:modified>
</cp:coreProperties>
</file>