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C599" w14:textId="77777777" w:rsidR="00C63E11" w:rsidRPr="00C63E11" w:rsidRDefault="00C63E11" w:rsidP="00C63E11">
      <w:pPr>
        <w:spacing w:after="800"/>
        <w:jc w:val="both"/>
        <w:rPr>
          <w:rFonts w:ascii="Times New Roman" w:hAnsi="Times New Roman" w:cs="Times New Roman"/>
        </w:rPr>
      </w:pPr>
    </w:p>
    <w:p w14:paraId="6DD87EA2"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b/>
          <w:bCs/>
          <w:lang w:val="en-US"/>
        </w:rPr>
        <w:t>REPUBLIC OF UZBEKISTAN</w:t>
      </w:r>
    </w:p>
    <w:p w14:paraId="257EF707"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b/>
          <w:bCs/>
          <w:lang w:val="en-US"/>
        </w:rPr>
        <w:t>MINISTRY OF ECONOMY AND FINANCE</w:t>
      </w:r>
    </w:p>
    <w:p w14:paraId="12D789DC" w14:textId="77777777" w:rsidR="00C63E11" w:rsidRPr="0017040C" w:rsidRDefault="00C63E11" w:rsidP="00C63E11">
      <w:pPr>
        <w:spacing w:after="500"/>
        <w:jc w:val="center"/>
        <w:rPr>
          <w:rFonts w:ascii="Times New Roman" w:hAnsi="Times New Roman" w:cs="Times New Roman"/>
          <w:lang w:val="en-US"/>
        </w:rPr>
      </w:pPr>
      <w:proofErr w:type="spellStart"/>
      <w:r w:rsidRPr="0017040C">
        <w:rPr>
          <w:rFonts w:ascii="Times New Roman" w:hAnsi="Times New Roman" w:cs="Times New Roman"/>
          <w:lang w:val="en-US"/>
        </w:rPr>
        <w:t>EduImkon</w:t>
      </w:r>
      <w:proofErr w:type="spellEnd"/>
      <w:r w:rsidRPr="0017040C">
        <w:rPr>
          <w:rFonts w:ascii="Times New Roman" w:hAnsi="Times New Roman" w:cs="Times New Roman"/>
          <w:lang w:val="en-US"/>
        </w:rPr>
        <w:t>: Redesigning Opportunity, Delivering Education Equity Program</w:t>
      </w:r>
    </w:p>
    <w:p w14:paraId="71D066E1" w14:textId="77777777" w:rsidR="00C63E11" w:rsidRPr="0017040C" w:rsidRDefault="00C63E11" w:rsidP="00C63E11">
      <w:pPr>
        <w:pBdr>
          <w:top w:val="thick" w:sz="12" w:space="1" w:color="1F3864"/>
          <w:bottom w:val="thick" w:sz="12" w:space="1" w:color="1F3864"/>
        </w:pBdr>
        <w:spacing w:after="80"/>
        <w:jc w:val="center"/>
        <w:rPr>
          <w:rFonts w:ascii="Times New Roman" w:hAnsi="Times New Roman" w:cs="Times New Roman"/>
          <w:lang w:val="en-US"/>
        </w:rPr>
      </w:pPr>
      <w:r w:rsidRPr="0017040C">
        <w:rPr>
          <w:rFonts w:ascii="Times New Roman" w:hAnsi="Times New Roman" w:cs="Times New Roman"/>
          <w:b/>
          <w:bCs/>
          <w:lang w:val="en-US"/>
        </w:rPr>
        <w:t>REQUEST FOR EXPRESSIONS OF INTEREST</w:t>
      </w:r>
    </w:p>
    <w:p w14:paraId="6307BB26" w14:textId="77777777" w:rsidR="00C63E11" w:rsidRPr="0017040C" w:rsidRDefault="00C63E11" w:rsidP="00C63E11">
      <w:pPr>
        <w:spacing w:after="120"/>
        <w:jc w:val="both"/>
        <w:rPr>
          <w:rFonts w:ascii="Times New Roman" w:hAnsi="Times New Roman" w:cs="Times New Roman"/>
          <w:lang w:val="en-US"/>
        </w:rPr>
      </w:pPr>
    </w:p>
    <w:p w14:paraId="3AA392EC"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b/>
          <w:bCs/>
          <w:lang w:val="en-US"/>
        </w:rPr>
        <w:t>Independent Verification Agent (IVA)</w:t>
      </w:r>
    </w:p>
    <w:p w14:paraId="304833B7" w14:textId="77777777" w:rsidR="00C63E11" w:rsidRPr="0017040C" w:rsidRDefault="00C63E11" w:rsidP="00C63E11">
      <w:pPr>
        <w:spacing w:after="60"/>
        <w:jc w:val="center"/>
        <w:rPr>
          <w:rFonts w:ascii="Times New Roman" w:hAnsi="Times New Roman" w:cs="Times New Roman"/>
          <w:lang w:val="en-US"/>
        </w:rPr>
      </w:pPr>
      <w:proofErr w:type="spellStart"/>
      <w:r w:rsidRPr="0017040C">
        <w:rPr>
          <w:rFonts w:ascii="Times New Roman" w:hAnsi="Times New Roman" w:cs="Times New Roman"/>
          <w:lang w:val="en-US"/>
        </w:rPr>
        <w:t>EduImkon</w:t>
      </w:r>
      <w:proofErr w:type="spellEnd"/>
      <w:r w:rsidRPr="0017040C">
        <w:rPr>
          <w:rFonts w:ascii="Times New Roman" w:hAnsi="Times New Roman" w:cs="Times New Roman"/>
          <w:lang w:val="en-US"/>
        </w:rPr>
        <w:t>: Redesigning Opportunity, Delivering Education Equity Program</w:t>
      </w:r>
    </w:p>
    <w:p w14:paraId="5CF4ADFF"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lang w:val="en-US"/>
        </w:rPr>
        <w:t>Consultant Qualification Selection (CQS)</w:t>
      </w:r>
    </w:p>
    <w:p w14:paraId="31C40A85" w14:textId="1381D18B" w:rsidR="00C63E11" w:rsidRPr="002F17BE" w:rsidRDefault="002F17BE" w:rsidP="00C63E11">
      <w:pPr>
        <w:spacing w:after="60"/>
        <w:jc w:val="center"/>
        <w:rPr>
          <w:rFonts w:ascii="Times New Roman" w:hAnsi="Times New Roman" w:cs="Times New Roman"/>
          <w:lang w:val="en-US"/>
        </w:rPr>
      </w:pPr>
      <w:r>
        <w:rPr>
          <w:rFonts w:ascii="Times New Roman" w:hAnsi="Times New Roman" w:cs="Times New Roman"/>
          <w:lang w:val="en-US"/>
        </w:rPr>
        <w:t xml:space="preserve">Grant </w:t>
      </w:r>
      <w:r w:rsidRPr="002F17BE">
        <w:rPr>
          <w:rFonts w:ascii="Times New Roman" w:hAnsi="Times New Roman" w:cs="Times New Roman"/>
          <w:lang w:val="en-US"/>
        </w:rPr>
        <w:t>№</w:t>
      </w:r>
      <w:r>
        <w:rPr>
          <w:rFonts w:ascii="Times New Roman" w:hAnsi="Times New Roman" w:cs="Times New Roman"/>
          <w:lang w:val="en-US"/>
        </w:rPr>
        <w:t>. TF0C8875</w:t>
      </w:r>
    </w:p>
    <w:p w14:paraId="48D465F6" w14:textId="3379C408"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lang w:val="en-US"/>
        </w:rPr>
        <w:t>Reference: UZ-MEF-</w:t>
      </w:r>
      <w:r w:rsidR="002F17BE" w:rsidRPr="002F17BE">
        <w:rPr>
          <w:rFonts w:ascii="Times New Roman" w:hAnsi="Times New Roman" w:cs="Times New Roman"/>
          <w:lang w:val="en-US"/>
        </w:rPr>
        <w:t>11</w:t>
      </w:r>
      <w:r w:rsidRPr="0017040C">
        <w:rPr>
          <w:rFonts w:ascii="Times New Roman" w:hAnsi="Times New Roman" w:cs="Times New Roman"/>
          <w:lang w:val="en-US"/>
        </w:rPr>
        <w:t>-</w:t>
      </w:r>
      <w:r w:rsidR="002F17BE">
        <w:rPr>
          <w:rFonts w:ascii="Times New Roman" w:hAnsi="Times New Roman" w:cs="Times New Roman"/>
          <w:lang w:val="en-US"/>
        </w:rPr>
        <w:t>CS</w:t>
      </w:r>
      <w:r w:rsidRPr="0017040C">
        <w:rPr>
          <w:rFonts w:ascii="Times New Roman" w:hAnsi="Times New Roman" w:cs="Times New Roman"/>
          <w:lang w:val="en-US"/>
        </w:rPr>
        <w:t>-CQS</w:t>
      </w:r>
    </w:p>
    <w:p w14:paraId="17585973" w14:textId="77777777" w:rsidR="00C63E11" w:rsidRPr="0017040C" w:rsidRDefault="00C63E11" w:rsidP="00C63E11">
      <w:pPr>
        <w:spacing w:after="800"/>
        <w:jc w:val="center"/>
        <w:rPr>
          <w:rFonts w:ascii="Times New Roman" w:hAnsi="Times New Roman" w:cs="Times New Roman"/>
          <w:lang w:val="en-US"/>
        </w:rPr>
      </w:pPr>
      <w:r w:rsidRPr="0017040C">
        <w:rPr>
          <w:rFonts w:ascii="Times New Roman" w:hAnsi="Times New Roman" w:cs="Times New Roman"/>
          <w:lang w:val="en-US"/>
        </w:rPr>
        <w:t>Tashkent, April 2026</w:t>
      </w:r>
    </w:p>
    <w:p w14:paraId="336C4467"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lang w:val="en-US"/>
        </w:rPr>
        <w:t>Issued by:</w:t>
      </w:r>
    </w:p>
    <w:p w14:paraId="5B890306"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b/>
          <w:bCs/>
          <w:lang w:val="en-US"/>
        </w:rPr>
        <w:t>Education Loan Financing Fund Management Department (ELFFMD)</w:t>
      </w:r>
    </w:p>
    <w:p w14:paraId="3245F4B1" w14:textId="77777777" w:rsidR="00C63E11" w:rsidRPr="0017040C" w:rsidRDefault="00C63E11" w:rsidP="00C63E11">
      <w:pPr>
        <w:spacing w:after="60"/>
        <w:jc w:val="center"/>
        <w:rPr>
          <w:rFonts w:ascii="Times New Roman" w:hAnsi="Times New Roman" w:cs="Times New Roman"/>
          <w:lang w:val="en-US"/>
        </w:rPr>
      </w:pPr>
      <w:r w:rsidRPr="0017040C">
        <w:rPr>
          <w:rFonts w:ascii="Times New Roman" w:hAnsi="Times New Roman" w:cs="Times New Roman"/>
          <w:lang w:val="en-US"/>
        </w:rPr>
        <w:t>Ministry of Economy and Finance</w:t>
      </w:r>
    </w:p>
    <w:p w14:paraId="40C8F947" w14:textId="2B1211B8" w:rsidR="00C63E11" w:rsidRPr="0017040C" w:rsidRDefault="0017040C" w:rsidP="00C63E11">
      <w:pPr>
        <w:spacing w:after="140"/>
        <w:jc w:val="center"/>
        <w:rPr>
          <w:rFonts w:ascii="Times New Roman" w:hAnsi="Times New Roman" w:cs="Times New Roman"/>
          <w:lang w:val="en-US"/>
        </w:rPr>
      </w:pPr>
      <w:r w:rsidRPr="0017040C">
        <w:rPr>
          <w:rFonts w:ascii="Times New Roman" w:hAnsi="Times New Roman" w:cs="Times New Roman"/>
          <w:lang w:val="en-US"/>
        </w:rPr>
        <w:t>1,</w:t>
      </w:r>
      <w:r w:rsidR="00C63E11" w:rsidRPr="0017040C">
        <w:rPr>
          <w:rFonts w:ascii="Times New Roman" w:hAnsi="Times New Roman" w:cs="Times New Roman"/>
          <w:lang w:val="en-US"/>
        </w:rPr>
        <w:t xml:space="preserve"> </w:t>
      </w:r>
      <w:proofErr w:type="spellStart"/>
      <w:r w:rsidRPr="0017040C">
        <w:rPr>
          <w:rFonts w:ascii="Times New Roman" w:hAnsi="Times New Roman" w:cs="Times New Roman"/>
          <w:lang w:val="en-US"/>
        </w:rPr>
        <w:t>Niyozbek</w:t>
      </w:r>
      <w:proofErr w:type="spellEnd"/>
      <w:r w:rsidRPr="0017040C">
        <w:rPr>
          <w:rFonts w:ascii="Times New Roman" w:hAnsi="Times New Roman" w:cs="Times New Roman"/>
          <w:lang w:val="en-US"/>
        </w:rPr>
        <w:t xml:space="preserve"> </w:t>
      </w:r>
      <w:proofErr w:type="spellStart"/>
      <w:r w:rsidRPr="0017040C">
        <w:rPr>
          <w:rFonts w:ascii="Times New Roman" w:hAnsi="Times New Roman" w:cs="Times New Roman"/>
          <w:lang w:val="en-US"/>
        </w:rPr>
        <w:t>yo'li</w:t>
      </w:r>
      <w:proofErr w:type="spellEnd"/>
      <w:r w:rsidR="00C63E11" w:rsidRPr="0017040C">
        <w:rPr>
          <w:rFonts w:ascii="Times New Roman" w:hAnsi="Times New Roman" w:cs="Times New Roman"/>
          <w:lang w:val="en-US"/>
        </w:rPr>
        <w:t xml:space="preserve"> Street, </w:t>
      </w:r>
      <w:proofErr w:type="spellStart"/>
      <w:r w:rsidR="00C63E11" w:rsidRPr="0017040C">
        <w:rPr>
          <w:rFonts w:ascii="Times New Roman" w:hAnsi="Times New Roman" w:cs="Times New Roman"/>
          <w:lang w:val="en-US"/>
        </w:rPr>
        <w:t>Yunusabad</w:t>
      </w:r>
      <w:proofErr w:type="spellEnd"/>
      <w:r w:rsidR="00C63E11" w:rsidRPr="0017040C">
        <w:rPr>
          <w:rFonts w:ascii="Times New Roman" w:hAnsi="Times New Roman" w:cs="Times New Roman"/>
          <w:lang w:val="en-US"/>
        </w:rPr>
        <w:t xml:space="preserve"> District, Tashkent 100017, Republic of Uzbekistan</w:t>
      </w:r>
    </w:p>
    <w:p w14:paraId="790FDD80"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br w:type="page"/>
      </w:r>
    </w:p>
    <w:p w14:paraId="70B166FE" w14:textId="77777777" w:rsidR="00C63E11" w:rsidRPr="00C63E11" w:rsidRDefault="00C63E11" w:rsidP="00C63E11">
      <w:pPr>
        <w:pStyle w:val="1"/>
        <w:pBdr>
          <w:bottom w:val="single" w:sz="6" w:space="1" w:color="1F3864"/>
        </w:pBdr>
        <w:rPr>
          <w:rFonts w:ascii="Times New Roman" w:hAnsi="Times New Roman" w:cs="Times New Roman"/>
          <w:color w:val="auto"/>
          <w:sz w:val="20"/>
          <w:szCs w:val="20"/>
        </w:rPr>
      </w:pPr>
      <w:r w:rsidRPr="00C63E11">
        <w:rPr>
          <w:rFonts w:ascii="Times New Roman" w:eastAsia="Arial" w:hAnsi="Times New Roman" w:cs="Times New Roman"/>
          <w:b/>
          <w:bCs/>
          <w:color w:val="auto"/>
          <w:sz w:val="20"/>
          <w:szCs w:val="20"/>
        </w:rPr>
        <w:lastRenderedPageBreak/>
        <w:t>1. ASSIGNMENT PARTICULARS</w:t>
      </w:r>
    </w:p>
    <w:p w14:paraId="60C902E7" w14:textId="77777777" w:rsidR="00C63E11" w:rsidRPr="00C63E11" w:rsidRDefault="00C63E11" w:rsidP="00C63E11">
      <w:pPr>
        <w:spacing w:after="80"/>
        <w:jc w:val="both"/>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C63E11" w:rsidRPr="00C63E11" w14:paraId="610B4341"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1A812FA9"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Country</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90E34C4"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Republic of Uzbekistan</w:t>
            </w:r>
          </w:p>
        </w:tc>
      </w:tr>
      <w:tr w:rsidR="00C63E11" w:rsidRPr="0017040C" w14:paraId="702E2C39"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081FFEB7"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Client / Borrower</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E7B6DC0"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Ministry of Economy and Finance (MEF)</w:t>
            </w:r>
          </w:p>
        </w:tc>
      </w:tr>
      <w:tr w:rsidR="00C63E11" w:rsidRPr="0017040C" w14:paraId="3B927CF7"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36637FDE"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Implementing</w:t>
            </w:r>
            <w:proofErr w:type="spellEnd"/>
            <w:r w:rsidRPr="00C63E11">
              <w:rPr>
                <w:rFonts w:ascii="Times New Roman" w:hAnsi="Times New Roman" w:cs="Times New Roman"/>
                <w:b/>
                <w:bCs/>
              </w:rPr>
              <w:t xml:space="preserve"> Agency</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22D368D"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Education Loan Financing Fund Management Department (ELFFMD) within MEF</w:t>
            </w:r>
          </w:p>
        </w:tc>
      </w:tr>
      <w:tr w:rsidR="00C63E11" w:rsidRPr="0017040C" w14:paraId="1B053CE1"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7DD0DCFA"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Program</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0BA6D70" w14:textId="77777777" w:rsidR="00C63E11" w:rsidRPr="0017040C" w:rsidRDefault="00C63E11" w:rsidP="00C63E11">
            <w:pPr>
              <w:rPr>
                <w:rFonts w:ascii="Times New Roman" w:hAnsi="Times New Roman" w:cs="Times New Roman"/>
                <w:lang w:val="en-US"/>
              </w:rPr>
            </w:pPr>
            <w:proofErr w:type="spellStart"/>
            <w:r w:rsidRPr="0017040C">
              <w:rPr>
                <w:rFonts w:ascii="Times New Roman" w:hAnsi="Times New Roman" w:cs="Times New Roman"/>
                <w:lang w:val="en-US"/>
              </w:rPr>
              <w:t>EduImkon</w:t>
            </w:r>
            <w:proofErr w:type="spellEnd"/>
            <w:r w:rsidRPr="0017040C">
              <w:rPr>
                <w:rFonts w:ascii="Times New Roman" w:hAnsi="Times New Roman" w:cs="Times New Roman"/>
                <w:lang w:val="en-US"/>
              </w:rPr>
              <w:t>: Redesigning Opportunity, Delivering Education Equity Program</w:t>
            </w:r>
          </w:p>
        </w:tc>
      </w:tr>
      <w:tr w:rsidR="00C63E11" w:rsidRPr="00C63E11" w14:paraId="136B80E4"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32FD3963" w14:textId="6B7282BE" w:rsidR="00C63E11" w:rsidRPr="00C63E11" w:rsidRDefault="002F17BE" w:rsidP="00C63E11">
            <w:pPr>
              <w:rPr>
                <w:rFonts w:ascii="Times New Roman" w:hAnsi="Times New Roman" w:cs="Times New Roman"/>
              </w:rPr>
            </w:pPr>
            <w:r w:rsidRPr="002F17BE">
              <w:rPr>
                <w:rFonts w:ascii="Times New Roman" w:hAnsi="Times New Roman" w:cs="Times New Roman"/>
                <w:b/>
                <w:bCs/>
                <w:lang w:val="en-US"/>
              </w:rPr>
              <w:t>Grant</w:t>
            </w:r>
            <w:r w:rsidR="00C63E11" w:rsidRPr="00C63E11">
              <w:rPr>
                <w:rFonts w:ascii="Times New Roman" w:hAnsi="Times New Roman" w:cs="Times New Roman"/>
                <w:b/>
                <w:bCs/>
              </w:rPr>
              <w:t xml:space="preserve"> Number</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78F66E7" w14:textId="230EAEF5" w:rsidR="00C63E11" w:rsidRPr="002F17BE" w:rsidRDefault="002F17BE" w:rsidP="002F17BE">
            <w:pPr>
              <w:spacing w:after="60"/>
              <w:rPr>
                <w:rFonts w:ascii="Times New Roman" w:hAnsi="Times New Roman" w:cs="Times New Roman"/>
                <w:lang w:val="en-US"/>
              </w:rPr>
            </w:pPr>
            <w:r>
              <w:rPr>
                <w:rFonts w:ascii="Times New Roman" w:hAnsi="Times New Roman" w:cs="Times New Roman"/>
                <w:lang w:val="en-US"/>
              </w:rPr>
              <w:t xml:space="preserve">Grant </w:t>
            </w:r>
            <w:r w:rsidRPr="002F17BE">
              <w:rPr>
                <w:rFonts w:ascii="Times New Roman" w:hAnsi="Times New Roman" w:cs="Times New Roman"/>
                <w:lang w:val="en-US"/>
              </w:rPr>
              <w:t>№</w:t>
            </w:r>
            <w:r>
              <w:rPr>
                <w:rFonts w:ascii="Times New Roman" w:hAnsi="Times New Roman" w:cs="Times New Roman"/>
                <w:lang w:val="en-US"/>
              </w:rPr>
              <w:t>. TF0C8875</w:t>
            </w:r>
          </w:p>
        </w:tc>
      </w:tr>
      <w:tr w:rsidR="00C63E11" w:rsidRPr="0017040C" w14:paraId="384C0B36"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1E3C5D8F"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Assignment Title</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CDDE94E"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Independent Verification Agent (IVA) — Verification of DLR 1.1 and DLR 2.1</w:t>
            </w:r>
          </w:p>
        </w:tc>
      </w:tr>
      <w:tr w:rsidR="00C63E11" w:rsidRPr="0017040C" w14:paraId="4385EE27"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5856E118"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Selection</w:t>
            </w:r>
            <w:proofErr w:type="spellEnd"/>
            <w:r w:rsidRPr="00C63E11">
              <w:rPr>
                <w:rFonts w:ascii="Times New Roman" w:hAnsi="Times New Roman" w:cs="Times New Roman"/>
                <w:b/>
                <w:bCs/>
              </w:rPr>
              <w:t xml:space="preserve"> </w:t>
            </w:r>
            <w:proofErr w:type="spellStart"/>
            <w:r w:rsidRPr="00C63E11">
              <w:rPr>
                <w:rFonts w:ascii="Times New Roman" w:hAnsi="Times New Roman" w:cs="Times New Roman"/>
                <w:b/>
                <w:bCs/>
              </w:rPr>
              <w:t>Method</w:t>
            </w:r>
            <w:proofErr w:type="spellEnd"/>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80644B1"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Consultant Qualification Selection (CQS) — World Bank Procurement Regulations for IPF Borrowers</w:t>
            </w:r>
          </w:p>
        </w:tc>
      </w:tr>
      <w:tr w:rsidR="00C63E11" w:rsidRPr="0017040C" w14:paraId="3AC99539"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721B7858"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Assignment</w:t>
            </w:r>
            <w:proofErr w:type="spellEnd"/>
            <w:r w:rsidRPr="00C63E11">
              <w:rPr>
                <w:rFonts w:ascii="Times New Roman" w:hAnsi="Times New Roman" w:cs="Times New Roman"/>
                <w:b/>
                <w:bCs/>
              </w:rPr>
              <w:t xml:space="preserve"> </w:t>
            </w:r>
            <w:proofErr w:type="spellStart"/>
            <w:r w:rsidRPr="00C63E11">
              <w:rPr>
                <w:rFonts w:ascii="Times New Roman" w:hAnsi="Times New Roman" w:cs="Times New Roman"/>
                <w:b/>
                <w:bCs/>
              </w:rPr>
              <w:t>Duration</w:t>
            </w:r>
            <w:proofErr w:type="spellEnd"/>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2E4B391"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8 to 10 weeks from the date of contract signing</w:t>
            </w:r>
          </w:p>
        </w:tc>
      </w:tr>
      <w:tr w:rsidR="00C63E11" w:rsidRPr="00C63E11" w14:paraId="465E1425"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626E737D"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 xml:space="preserve">REOI </w:t>
            </w:r>
            <w:proofErr w:type="spellStart"/>
            <w:r w:rsidRPr="00C63E11">
              <w:rPr>
                <w:rFonts w:ascii="Times New Roman" w:hAnsi="Times New Roman" w:cs="Times New Roman"/>
                <w:b/>
                <w:bCs/>
              </w:rPr>
              <w:t>Reference</w:t>
            </w:r>
            <w:proofErr w:type="spellEnd"/>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2515CB3" w14:textId="2A79A36D" w:rsidR="00C63E11" w:rsidRPr="00C63E11" w:rsidRDefault="002F17BE" w:rsidP="00C63E11">
            <w:pPr>
              <w:rPr>
                <w:rFonts w:ascii="Times New Roman" w:hAnsi="Times New Roman" w:cs="Times New Roman"/>
              </w:rPr>
            </w:pPr>
            <w:r w:rsidRPr="00C63E11">
              <w:rPr>
                <w:rFonts w:ascii="Times New Roman" w:hAnsi="Times New Roman" w:cs="Times New Roman"/>
              </w:rPr>
              <w:t>UZ-MEF-</w:t>
            </w:r>
            <w:r w:rsidRPr="002F17BE">
              <w:rPr>
                <w:rFonts w:ascii="Times New Roman" w:hAnsi="Times New Roman" w:cs="Times New Roman"/>
                <w:lang w:val="en-US"/>
              </w:rPr>
              <w:t>11</w:t>
            </w:r>
            <w:r w:rsidRPr="00C63E11">
              <w:rPr>
                <w:rFonts w:ascii="Times New Roman" w:hAnsi="Times New Roman" w:cs="Times New Roman"/>
              </w:rPr>
              <w:t>-</w:t>
            </w:r>
            <w:r>
              <w:rPr>
                <w:rFonts w:ascii="Times New Roman" w:hAnsi="Times New Roman" w:cs="Times New Roman"/>
                <w:lang w:val="en-US"/>
              </w:rPr>
              <w:t>CS</w:t>
            </w:r>
            <w:r w:rsidRPr="00C63E11">
              <w:rPr>
                <w:rFonts w:ascii="Times New Roman" w:hAnsi="Times New Roman" w:cs="Times New Roman"/>
              </w:rPr>
              <w:t>-CQS</w:t>
            </w:r>
          </w:p>
        </w:tc>
      </w:tr>
      <w:tr w:rsidR="00C63E11" w:rsidRPr="0017040C" w14:paraId="50A36B29"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2237B678"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EOI Submission Deadline</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E5FEA11" w14:textId="0260BDB1" w:rsidR="00C63E11" w:rsidRPr="0017040C" w:rsidRDefault="0017040C" w:rsidP="00C63E11">
            <w:pPr>
              <w:rPr>
                <w:rFonts w:ascii="Times New Roman" w:hAnsi="Times New Roman" w:cs="Times New Roman"/>
                <w:lang w:val="en-US"/>
              </w:rPr>
            </w:pPr>
            <w:r w:rsidRPr="0017040C">
              <w:rPr>
                <w:rFonts w:ascii="Times New Roman" w:hAnsi="Times New Roman" w:cs="Times New Roman"/>
                <w:lang w:val="en-US"/>
              </w:rPr>
              <w:t xml:space="preserve">April </w:t>
            </w:r>
            <w:r w:rsidRPr="0099783A">
              <w:rPr>
                <w:rFonts w:ascii="Times New Roman" w:hAnsi="Times New Roman" w:cs="Times New Roman"/>
                <w:lang w:val="en-US"/>
              </w:rPr>
              <w:t xml:space="preserve">28, </w:t>
            </w:r>
            <w:r w:rsidRPr="0017040C">
              <w:rPr>
                <w:rFonts w:ascii="Times New Roman" w:hAnsi="Times New Roman" w:cs="Times New Roman"/>
                <w:lang w:val="en-US"/>
              </w:rPr>
              <w:t>2026</w:t>
            </w:r>
            <w:r w:rsidRPr="0099783A">
              <w:rPr>
                <w:rFonts w:ascii="Times New Roman" w:hAnsi="Times New Roman" w:cs="Times New Roman"/>
                <w:lang w:val="en-US"/>
              </w:rPr>
              <w:t xml:space="preserve">, </w:t>
            </w:r>
            <w:r w:rsidRPr="0017040C">
              <w:rPr>
                <w:rFonts w:ascii="Times New Roman" w:hAnsi="Times New Roman" w:cs="Times New Roman"/>
                <w:lang w:val="en-US"/>
              </w:rPr>
              <w:t>at 18:00 hours Tashkent time</w:t>
            </w:r>
          </w:p>
        </w:tc>
      </w:tr>
    </w:tbl>
    <w:p w14:paraId="2852EDB2" w14:textId="77777777" w:rsidR="00C63E11" w:rsidRPr="0017040C" w:rsidRDefault="00C63E11" w:rsidP="00C63E11">
      <w:pPr>
        <w:spacing w:after="80"/>
        <w:jc w:val="both"/>
        <w:rPr>
          <w:rFonts w:ascii="Times New Roman" w:hAnsi="Times New Roman" w:cs="Times New Roman"/>
          <w:lang w:val="en-US"/>
        </w:rPr>
      </w:pPr>
    </w:p>
    <w:p w14:paraId="10758B6D"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2. BACKGROUND</w:t>
      </w:r>
    </w:p>
    <w:p w14:paraId="08728C33"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 xml:space="preserve">The Republic of Uzbekistan has received financing from the International Bank for Reconstruction and Development (IBRD) for the </w:t>
      </w:r>
      <w:proofErr w:type="spellStart"/>
      <w:r w:rsidRPr="0017040C">
        <w:rPr>
          <w:rFonts w:ascii="Times New Roman" w:hAnsi="Times New Roman" w:cs="Times New Roman"/>
          <w:lang w:val="en-US"/>
        </w:rPr>
        <w:t>EduImkon</w:t>
      </w:r>
      <w:proofErr w:type="spellEnd"/>
      <w:r w:rsidRPr="0017040C">
        <w:rPr>
          <w:rFonts w:ascii="Times New Roman" w:hAnsi="Times New Roman" w:cs="Times New Roman"/>
          <w:lang w:val="en-US"/>
        </w:rPr>
        <w:t>: Redesigning Opportunity, Delivering Education Equity Program (the Program), under IBRD Loan No. 9901-UZ. The Program is implemented under the Program-for-Results (PforR) lending instrument, under which IBRD proceeds are disbursed upon independent verification of specified Disbursement-Linked Results (DLRs). Total IBRD financing for the Program is approximately US$250 million across three Disbursement-Linked Indicators (DLIs).</w:t>
      </w:r>
    </w:p>
    <w:p w14:paraId="2D792B76"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The Program Development Objective is to improve equitable access, relevance, and sustainability of the student financing support mechanism in the tertiary education sector. The Ministry of Economy and Finance (MEF), through the Education Loan Financing Fund Management Department (ELFFMD), is responsible for Program coordination and results monitoring. Key implementing partners include the Fund for Financing Education Loans (FFEL), the Ministry of Higher Education, Science and Innovation (MHESI), and participating commercial banks.</w:t>
      </w:r>
    </w:p>
    <w:p w14:paraId="1C852AC8"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MEF now invites eligible consulting firms to express their interest in providing the services of an Independent Verification Agent (IVA). The IVA will independently verify and validate the baselines and achievements of DLR 1.1 (increase in women beneficiaries of student loans) and DLR 2.1 (operationalization of the integrated digital platform for student loan tracking). The IVA will be contracted by MEF and will work closely with ELFFMD while maintaining full independence in verifying results.</w:t>
      </w:r>
    </w:p>
    <w:p w14:paraId="3BC6F720" w14:textId="77777777" w:rsidR="00C63E11" w:rsidRPr="00C63E11" w:rsidRDefault="00C63E11" w:rsidP="00C63E11">
      <w:pPr>
        <w:pStyle w:val="1"/>
        <w:pBdr>
          <w:bottom w:val="single" w:sz="6" w:space="1" w:color="1F3864"/>
        </w:pBdr>
        <w:rPr>
          <w:rFonts w:ascii="Times New Roman" w:hAnsi="Times New Roman" w:cs="Times New Roman"/>
          <w:color w:val="auto"/>
          <w:sz w:val="20"/>
          <w:szCs w:val="20"/>
        </w:rPr>
      </w:pPr>
      <w:r w:rsidRPr="00C63E11">
        <w:rPr>
          <w:rFonts w:ascii="Times New Roman" w:eastAsia="Arial" w:hAnsi="Times New Roman" w:cs="Times New Roman"/>
          <w:b/>
          <w:bCs/>
          <w:color w:val="auto"/>
          <w:sz w:val="20"/>
          <w:szCs w:val="20"/>
        </w:rPr>
        <w:t>3. DISBURSEMENT-LINKED RESULTS IN SCOPE</w:t>
      </w:r>
    </w:p>
    <w:p w14:paraId="5B035081" w14:textId="77777777" w:rsidR="00C63E11" w:rsidRPr="00C63E11" w:rsidRDefault="00C63E11" w:rsidP="00C63E11">
      <w:pPr>
        <w:spacing w:after="80"/>
        <w:jc w:val="both"/>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1800"/>
        <w:gridCol w:w="4026"/>
        <w:gridCol w:w="2100"/>
      </w:tblGrid>
      <w:tr w:rsidR="00C63E11" w:rsidRPr="00C63E11" w14:paraId="251FFC1A" w14:textId="77777777" w:rsidTr="00C63E11">
        <w:tc>
          <w:tcPr>
            <w:tcW w:w="1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9344273"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DLI</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4E60A98"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DLR</w:t>
            </w:r>
          </w:p>
        </w:tc>
        <w:tc>
          <w:tcPr>
            <w:tcW w:w="4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8315ABD"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Description and Formula</w:t>
            </w:r>
          </w:p>
        </w:tc>
        <w:tc>
          <w:tcPr>
            <w:tcW w:w="2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872BF41"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Disbursement Value</w:t>
            </w:r>
          </w:p>
        </w:tc>
      </w:tr>
      <w:tr w:rsidR="00C63E11" w:rsidRPr="0017040C" w14:paraId="1F85C257" w14:textId="77777777" w:rsidTr="00264752">
        <w:tc>
          <w:tcPr>
            <w:tcW w:w="1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71742F7"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DLI 1</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270EF8C"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DLR 1.1 (Prior Results)</w:t>
            </w:r>
          </w:p>
        </w:tc>
        <w:tc>
          <w:tcPr>
            <w:tcW w:w="4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1A2A454"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Increase in the number of women benefiting from student loans. From a baseline of 42,881 women (September–November 2024), US$2,000 per additional woman, up to a maximum of 17,500 additional women.</w:t>
            </w:r>
          </w:p>
        </w:tc>
        <w:tc>
          <w:tcPr>
            <w:tcW w:w="2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786F585" w14:textId="77777777" w:rsidR="00C63E11" w:rsidRPr="0017040C" w:rsidRDefault="00C63E11" w:rsidP="00C63E11">
            <w:pPr>
              <w:jc w:val="center"/>
              <w:rPr>
                <w:rFonts w:ascii="Times New Roman" w:hAnsi="Times New Roman" w:cs="Times New Roman"/>
                <w:lang w:val="en-US"/>
              </w:rPr>
            </w:pPr>
            <w:r w:rsidRPr="0017040C">
              <w:rPr>
                <w:rFonts w:ascii="Times New Roman" w:hAnsi="Times New Roman" w:cs="Times New Roman"/>
                <w:lang w:val="en-US"/>
              </w:rPr>
              <w:t>Up to US$35 million (scalable)</w:t>
            </w:r>
          </w:p>
        </w:tc>
      </w:tr>
      <w:tr w:rsidR="00C63E11" w:rsidRPr="00C63E11" w14:paraId="70C6C68C" w14:textId="77777777" w:rsidTr="00264752">
        <w:tc>
          <w:tcPr>
            <w:tcW w:w="1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97D40F8"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DLI 2</w:t>
            </w:r>
          </w:p>
        </w:tc>
        <w:tc>
          <w:tcPr>
            <w:tcW w:w="18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532613C"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DLR 2.1 (Period 1)</w:t>
            </w:r>
          </w:p>
        </w:tc>
        <w:tc>
          <w:tcPr>
            <w:tcW w:w="40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8C8E6ED" w14:textId="77777777" w:rsidR="00C63E11" w:rsidRPr="00C63E11" w:rsidRDefault="00C63E11" w:rsidP="00C63E11">
            <w:pPr>
              <w:rPr>
                <w:rFonts w:ascii="Times New Roman" w:hAnsi="Times New Roman" w:cs="Times New Roman"/>
              </w:rPr>
            </w:pPr>
            <w:r w:rsidRPr="0017040C">
              <w:rPr>
                <w:rFonts w:ascii="Times New Roman" w:hAnsi="Times New Roman" w:cs="Times New Roman"/>
                <w:lang w:val="en-US"/>
              </w:rPr>
              <w:t xml:space="preserve">Operationalization of the integrated digital platform tracking student loan beneficiaries. </w:t>
            </w:r>
            <w:proofErr w:type="spellStart"/>
            <w:r w:rsidRPr="00C63E11">
              <w:rPr>
                <w:rFonts w:ascii="Times New Roman" w:hAnsi="Times New Roman" w:cs="Times New Roman"/>
              </w:rPr>
              <w:t>Fixed</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disbursement</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upon</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confirmed</w:t>
            </w:r>
            <w:proofErr w:type="spellEnd"/>
            <w:r w:rsidRPr="00C63E11">
              <w:rPr>
                <w:rFonts w:ascii="Times New Roman" w:hAnsi="Times New Roman" w:cs="Times New Roman"/>
              </w:rPr>
              <w:t xml:space="preserve"> functional readiness.</w:t>
            </w:r>
          </w:p>
        </w:tc>
        <w:tc>
          <w:tcPr>
            <w:tcW w:w="21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E5011C6"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US$30 million (fixed)</w:t>
            </w:r>
          </w:p>
        </w:tc>
      </w:tr>
    </w:tbl>
    <w:p w14:paraId="14BBDF19" w14:textId="77777777" w:rsidR="00C63E11" w:rsidRPr="00C63E11" w:rsidRDefault="00C63E11" w:rsidP="00C63E11">
      <w:pPr>
        <w:spacing w:after="80"/>
        <w:jc w:val="both"/>
        <w:rPr>
          <w:rFonts w:ascii="Times New Roman" w:hAnsi="Times New Roman" w:cs="Times New Roman"/>
        </w:rPr>
      </w:pPr>
    </w:p>
    <w:p w14:paraId="066A8DB0" w14:textId="77777777" w:rsidR="00C63E11" w:rsidRPr="00C63E11" w:rsidRDefault="00C63E11" w:rsidP="00C63E11">
      <w:pPr>
        <w:pStyle w:val="1"/>
        <w:pBdr>
          <w:bottom w:val="single" w:sz="6" w:space="1" w:color="1F3864"/>
        </w:pBdr>
        <w:rPr>
          <w:rFonts w:ascii="Times New Roman" w:hAnsi="Times New Roman" w:cs="Times New Roman"/>
          <w:color w:val="auto"/>
          <w:sz w:val="20"/>
          <w:szCs w:val="20"/>
        </w:rPr>
      </w:pPr>
      <w:r w:rsidRPr="00C63E11">
        <w:rPr>
          <w:rFonts w:ascii="Times New Roman" w:eastAsia="Arial" w:hAnsi="Times New Roman" w:cs="Times New Roman"/>
          <w:b/>
          <w:bCs/>
          <w:color w:val="auto"/>
          <w:sz w:val="20"/>
          <w:szCs w:val="20"/>
        </w:rPr>
        <w:lastRenderedPageBreak/>
        <w:t>4. OBJECTIVE OF THE ASSIGNMENT</w:t>
      </w:r>
    </w:p>
    <w:p w14:paraId="40CA56FA"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 xml:space="preserve">The objective is to engage a qualified consulting firm to serve as the IVA for the </w:t>
      </w:r>
      <w:proofErr w:type="spellStart"/>
      <w:r w:rsidRPr="0017040C">
        <w:rPr>
          <w:rFonts w:ascii="Times New Roman" w:hAnsi="Times New Roman" w:cs="Times New Roman"/>
          <w:lang w:val="en-US"/>
        </w:rPr>
        <w:t>EduImkon</w:t>
      </w:r>
      <w:proofErr w:type="spellEnd"/>
      <w:r w:rsidRPr="0017040C">
        <w:rPr>
          <w:rFonts w:ascii="Times New Roman" w:hAnsi="Times New Roman" w:cs="Times New Roman"/>
          <w:lang w:val="en-US"/>
        </w:rPr>
        <w:t xml:space="preserve"> Program. The IVA shall independently verify and validate the baselines and achievements of DLR 1.1 and DLR 2.1, strictly in accordance with the verification protocols in the PAD and the Program Operational Manual (POM), and shall provide verification reports acceptable to the World Bank as the basis for disbursement of IBRD loan proceeds.</w:t>
      </w:r>
    </w:p>
    <w:p w14:paraId="2D779DF2"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5. SERVICES REQUIRED</w:t>
      </w:r>
    </w:p>
    <w:p w14:paraId="60F320AF"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The selected firm will be required to perform the following main tasks, as detailed in the Terms of Reference (TOR) to be provided to the shortlisted firm:</w:t>
      </w:r>
    </w:p>
    <w:p w14:paraId="6A39B642" w14:textId="77777777" w:rsidR="00C63E11" w:rsidRPr="0017040C" w:rsidRDefault="00C63E11" w:rsidP="00C63E11">
      <w:pPr>
        <w:spacing w:after="80"/>
        <w:jc w:val="both"/>
        <w:rPr>
          <w:rFonts w:ascii="Times New Roman" w:hAnsi="Times New Roman" w:cs="Times New Roman"/>
          <w:lang w:val="en-US"/>
        </w:rPr>
      </w:pPr>
    </w:p>
    <w:p w14:paraId="4311F644" w14:textId="77777777" w:rsidR="00C63E11" w:rsidRPr="0017040C" w:rsidRDefault="00C63E11" w:rsidP="00C63E11">
      <w:pPr>
        <w:pStyle w:val="a7"/>
        <w:numPr>
          <w:ilvl w:val="0"/>
          <w:numId w:val="1"/>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Develop a unified verification methodology and inception package covering DLR 1.1 and DLR 2.1, including a sampling strategy and workplan.</w:t>
      </w:r>
    </w:p>
    <w:p w14:paraId="232164F3" w14:textId="77777777" w:rsidR="00C63E11" w:rsidRPr="0017040C" w:rsidRDefault="00C63E11" w:rsidP="00C63E11">
      <w:pPr>
        <w:pStyle w:val="a7"/>
        <w:numPr>
          <w:ilvl w:val="0"/>
          <w:numId w:val="1"/>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Verify the eligibility and correct categorization of women student loan beneficiaries under DLR 1.1 through reconciliation of data from MEF, ELFFMD/FFEL, MHESI, participating commercial banks, and the Unified Social Protection Register (USPR), using an agreed representative sampling methodology for the academic year 2025/2026.</w:t>
      </w:r>
    </w:p>
    <w:p w14:paraId="532A7460" w14:textId="77777777" w:rsidR="00C63E11" w:rsidRPr="0017040C" w:rsidRDefault="00C63E11" w:rsidP="00C63E11">
      <w:pPr>
        <w:pStyle w:val="a7"/>
        <w:numPr>
          <w:ilvl w:val="0"/>
          <w:numId w:val="1"/>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Assess and confirm the functional operational readiness of the integrated digital platform for student loan tracking under DLR 2.1, including interoperability review and data protection compliance.</w:t>
      </w:r>
    </w:p>
    <w:p w14:paraId="1EBF6643" w14:textId="77777777" w:rsidR="00C63E11" w:rsidRPr="0017040C" w:rsidRDefault="00C63E11" w:rsidP="00C63E11">
      <w:pPr>
        <w:pStyle w:val="a7"/>
        <w:numPr>
          <w:ilvl w:val="0"/>
          <w:numId w:val="1"/>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Conduct data quality, integrity, and compliance reviews across all DLRs in scope.</w:t>
      </w:r>
    </w:p>
    <w:p w14:paraId="2FC2D495" w14:textId="77777777" w:rsidR="00C63E11" w:rsidRPr="0017040C" w:rsidRDefault="00C63E11" w:rsidP="00C63E11">
      <w:pPr>
        <w:pStyle w:val="a7"/>
        <w:numPr>
          <w:ilvl w:val="0"/>
          <w:numId w:val="1"/>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Prepare and submit consolidated verification reports for DLR 1.1 and DLR 2.1 with validated results, recommended disbursement amounts, and supporting evidence annexes.</w:t>
      </w:r>
    </w:p>
    <w:p w14:paraId="60623377" w14:textId="77777777" w:rsidR="00C63E11" w:rsidRPr="0017040C" w:rsidRDefault="00C63E11" w:rsidP="00C63E11">
      <w:pPr>
        <w:spacing w:after="80"/>
        <w:jc w:val="both"/>
        <w:rPr>
          <w:rFonts w:ascii="Times New Roman" w:hAnsi="Times New Roman" w:cs="Times New Roman"/>
          <w:lang w:val="en-US"/>
        </w:rPr>
      </w:pPr>
    </w:p>
    <w:p w14:paraId="325D462E"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The assignment shall be completed within 8 to 10 weeks from contract signing. Deliverables include: (</w:t>
      </w:r>
      <w:proofErr w:type="spellStart"/>
      <w:r w:rsidRPr="0017040C">
        <w:rPr>
          <w:rFonts w:ascii="Times New Roman" w:hAnsi="Times New Roman" w:cs="Times New Roman"/>
          <w:lang w:val="en-US"/>
        </w:rPr>
        <w:t>i</w:t>
      </w:r>
      <w:proofErr w:type="spellEnd"/>
      <w:r w:rsidRPr="0017040C">
        <w:rPr>
          <w:rFonts w:ascii="Times New Roman" w:hAnsi="Times New Roman" w:cs="Times New Roman"/>
          <w:lang w:val="en-US"/>
        </w:rPr>
        <w:t>) Inception Package; (ii) Verification Report for DLR 1.1; (iii) Verification Report for DLR 2.1; and (iv) Supporting Annexes.</w:t>
      </w:r>
    </w:p>
    <w:p w14:paraId="3F5A2668"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6. ELIGIBILITY REQUIREMENTS</w:t>
      </w:r>
    </w:p>
    <w:p w14:paraId="00803981" w14:textId="77777777" w:rsidR="00C63E11" w:rsidRPr="0017040C" w:rsidRDefault="00C63E11" w:rsidP="00C63E11">
      <w:pPr>
        <w:pStyle w:val="2"/>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6.1 Entity Type</w:t>
      </w:r>
    </w:p>
    <w:p w14:paraId="522AB58C"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This assignment is open to legally registered consulting firms, research organizations, and audit firms. Individual consultants are not eligible to apply.</w:t>
      </w:r>
    </w:p>
    <w:p w14:paraId="4B8391BA" w14:textId="77777777" w:rsidR="00C63E11" w:rsidRPr="0017040C" w:rsidRDefault="00C63E11" w:rsidP="00C63E11">
      <w:pPr>
        <w:pStyle w:val="2"/>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6.2 Registration in Uzbekistan</w:t>
      </w:r>
    </w:p>
    <w:p w14:paraId="117A7805"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Firms duly registered in the Republic of Uzbekistan or with a registered local presence (branch, representative office, or subsidiary) are encouraged to confirm this in their EOI. Foreign firms without local registration may still apply but must demonstrate a credible plan for establishing local registration or a teaming arrangement with a locally registered entity prior to contract award, in accordance with the applicable legislation of Uzbekistan. MEF reserves the right to require evidence of local registration or a signed teaming agreement as a condition of contract award.</w:t>
      </w:r>
    </w:p>
    <w:p w14:paraId="225B1D6D" w14:textId="77777777" w:rsidR="00C63E11" w:rsidRPr="0017040C" w:rsidRDefault="00C63E11" w:rsidP="00C63E11">
      <w:pPr>
        <w:pStyle w:val="2"/>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6.3 World Bank Eligibility</w:t>
      </w:r>
    </w:p>
    <w:p w14:paraId="1C84AEA0"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The firm must not appear on the World Bank's list of debarred firms and individuals. Firms from all countries, except those subject to restrictions under applicable World Bank policies, may apply.</w:t>
      </w:r>
    </w:p>
    <w:p w14:paraId="292BE34E" w14:textId="77777777" w:rsidR="00C63E11" w:rsidRPr="0017040C" w:rsidRDefault="00C63E11" w:rsidP="00C63E11">
      <w:pPr>
        <w:pStyle w:val="2"/>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6.4 Conflict of Interest</w:t>
      </w:r>
    </w:p>
    <w:p w14:paraId="13BBDD23"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Firms that have been involved, directly or through affiliated entities, in the design, development, or implementation of any of the systems or programs whose results are to be verified under this assignment are not eligible to apply. Any actual or potential conflict of interest must be disclosed in the EOI.</w:t>
      </w:r>
    </w:p>
    <w:p w14:paraId="291F4B3A"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7. SHORTLISTING CRITERIA</w:t>
      </w:r>
    </w:p>
    <w:p w14:paraId="3095BCCC"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Given the nature of this assignment, both the firm's organizational experience and the qualifications of the proposed key personnel are material to the shortlisting decision. Verification assignments under PforR instruments are highly dependent on the specific knowledge and competence of individual experts, and a strong institutional profile does not compensate for insufficiently qualified key staff. For this reason, ELFFMD will assess team composition at the shortlisting stage on a pass/fail threshold basis, alongside the firm-level criteria. The full scored evaluation of key personnel will be conducted at the proposal stage in accordance with the RFP evaluation criteria.</w:t>
      </w:r>
    </w:p>
    <w:p w14:paraId="7B78B7F2"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lastRenderedPageBreak/>
        <w:t>The shortlisting criteria are structured in two parts: Part A covers firm-level qualifications assessed on a scored basis; Part B covers key personnel assessed on a pass/fail threshold basis. Only firms satisfying all Part B thresholds will be placed on the shortlist, regardless of their Part A score.</w:t>
      </w:r>
    </w:p>
    <w:p w14:paraId="6135B6F3" w14:textId="77777777" w:rsidR="00C63E11" w:rsidRPr="0017040C" w:rsidRDefault="00C63E11" w:rsidP="00C63E11">
      <w:pPr>
        <w:spacing w:after="80"/>
        <w:jc w:val="both"/>
        <w:rPr>
          <w:rFonts w:ascii="Times New Roman" w:hAnsi="Times New Roman" w:cs="Times New Roman"/>
          <w:lang w:val="en-US"/>
        </w:rPr>
      </w:pPr>
    </w:p>
    <w:p w14:paraId="64B861AA" w14:textId="77777777" w:rsidR="00C63E11" w:rsidRPr="0017040C" w:rsidRDefault="00C63E11" w:rsidP="00C63E11">
      <w:pPr>
        <w:pStyle w:val="2"/>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Part A: Firm-Level Qualifications (Scored)</w:t>
      </w:r>
    </w:p>
    <w:p w14:paraId="1087AB59" w14:textId="77777777" w:rsidR="00C63E11" w:rsidRPr="0017040C" w:rsidRDefault="00C63E11" w:rsidP="00C63E11">
      <w:pPr>
        <w:spacing w:after="80"/>
        <w:jc w:val="both"/>
        <w:rPr>
          <w:rFonts w:ascii="Times New Roman" w:hAnsi="Times New Roman" w:cs="Times New Roman"/>
          <w:lang w:val="en-US"/>
        </w:rPr>
      </w:pP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
        <w:gridCol w:w="4989"/>
        <w:gridCol w:w="1371"/>
        <w:gridCol w:w="2476"/>
      </w:tblGrid>
      <w:tr w:rsidR="00C63E11" w:rsidRPr="00C63E11" w14:paraId="50A67C3F" w14:textId="77777777" w:rsidTr="00C63E11">
        <w:tc>
          <w:tcPr>
            <w:tcW w:w="53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FC54116"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w:t>
            </w:r>
          </w:p>
        </w:tc>
        <w:tc>
          <w:tcPr>
            <w:tcW w:w="498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D5EB4F9"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Criterion</w:t>
            </w:r>
          </w:p>
        </w:tc>
        <w:tc>
          <w:tcPr>
            <w:tcW w:w="137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5516EFB"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Max Points</w:t>
            </w:r>
          </w:p>
        </w:tc>
        <w:tc>
          <w:tcPr>
            <w:tcW w:w="247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01B4157"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Evidence Required</w:t>
            </w:r>
          </w:p>
        </w:tc>
      </w:tr>
      <w:tr w:rsidR="00C63E11" w:rsidRPr="0017040C" w14:paraId="36F1F3DC" w14:textId="77777777" w:rsidTr="00C63E11">
        <w:tc>
          <w:tcPr>
            <w:tcW w:w="53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DF96E55"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A.1</w:t>
            </w:r>
          </w:p>
        </w:tc>
        <w:tc>
          <w:tcPr>
            <w:tcW w:w="498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50A6682"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Experience in independent verification, M&amp;E, or results-based financing assignments. At least one completed similar contract within the last 7 years is required as a pass/fail threshold within this criterion; additional contracts beyond the minimum are scored.</w:t>
            </w:r>
          </w:p>
        </w:tc>
        <w:tc>
          <w:tcPr>
            <w:tcW w:w="137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B0B4278"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40</w:t>
            </w:r>
          </w:p>
        </w:tc>
        <w:tc>
          <w:tcPr>
            <w:tcW w:w="247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A01ED1A"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Reference contracts with client name, dates, contract value, and scope description</w:t>
            </w:r>
          </w:p>
        </w:tc>
      </w:tr>
      <w:tr w:rsidR="00C63E11" w:rsidRPr="0017040C" w14:paraId="7A55D186" w14:textId="77777777" w:rsidTr="00C63E11">
        <w:tc>
          <w:tcPr>
            <w:tcW w:w="53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B250AAC"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A.2</w:t>
            </w:r>
          </w:p>
        </w:tc>
        <w:tc>
          <w:tcPr>
            <w:tcW w:w="498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7175AD3"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Demonstrated experience with World Bank PforR operations or other results-based financing instruments (highly advantageous).</w:t>
            </w:r>
          </w:p>
        </w:tc>
        <w:tc>
          <w:tcPr>
            <w:tcW w:w="137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6043189"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35</w:t>
            </w:r>
          </w:p>
        </w:tc>
        <w:tc>
          <w:tcPr>
            <w:tcW w:w="247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9ED294A"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Contract descriptions referencing PforR or RBF context</w:t>
            </w:r>
          </w:p>
        </w:tc>
      </w:tr>
      <w:tr w:rsidR="00C63E11" w:rsidRPr="0017040C" w14:paraId="0E260A84" w14:textId="77777777" w:rsidTr="00C63E11">
        <w:tc>
          <w:tcPr>
            <w:tcW w:w="53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953F31F"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A.3</w:t>
            </w:r>
          </w:p>
        </w:tc>
        <w:tc>
          <w:tcPr>
            <w:tcW w:w="498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4A2C640"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Experience working in Uzbekistan, Central Asia, or comparable emerging market contexts in education, social protection, or public finance.</w:t>
            </w:r>
          </w:p>
        </w:tc>
        <w:tc>
          <w:tcPr>
            <w:tcW w:w="137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39C64DB"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15</w:t>
            </w:r>
          </w:p>
        </w:tc>
        <w:tc>
          <w:tcPr>
            <w:tcW w:w="247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1D61D13"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Contract list with countries of execution</w:t>
            </w:r>
          </w:p>
        </w:tc>
      </w:tr>
      <w:tr w:rsidR="00C63E11" w:rsidRPr="00C63E11" w14:paraId="09D744A0" w14:textId="77777777" w:rsidTr="00C63E11">
        <w:tc>
          <w:tcPr>
            <w:tcW w:w="53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46E2EAA"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A.4</w:t>
            </w:r>
          </w:p>
        </w:tc>
        <w:tc>
          <w:tcPr>
            <w:tcW w:w="498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2010FE3"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Institutional capacity: relevant in-house technical staff and evidence of sustained operations in verification, M&amp;E, or audit.</w:t>
            </w:r>
          </w:p>
        </w:tc>
        <w:tc>
          <w:tcPr>
            <w:tcW w:w="137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DCB7964"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10</w:t>
            </w:r>
          </w:p>
        </w:tc>
        <w:tc>
          <w:tcPr>
            <w:tcW w:w="247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1FCC9D1"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Firm profile, staff roster</w:t>
            </w:r>
          </w:p>
        </w:tc>
      </w:tr>
      <w:tr w:rsidR="00C63E11" w:rsidRPr="00C63E11" w14:paraId="5C774CAA" w14:textId="77777777" w:rsidTr="00C63E11">
        <w:tc>
          <w:tcPr>
            <w:tcW w:w="535"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2705E9B" w14:textId="77777777" w:rsidR="00C63E11" w:rsidRPr="00C63E11" w:rsidRDefault="00C63E11" w:rsidP="00C63E11">
            <w:pPr>
              <w:rPr>
                <w:rFonts w:ascii="Times New Roman" w:hAnsi="Times New Roman" w:cs="Times New Roman"/>
              </w:rPr>
            </w:pPr>
          </w:p>
        </w:tc>
        <w:tc>
          <w:tcPr>
            <w:tcW w:w="4989"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BEA27CA"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Total — Part A</w:t>
            </w:r>
          </w:p>
        </w:tc>
        <w:tc>
          <w:tcPr>
            <w:tcW w:w="1371"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1055529"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100</w:t>
            </w:r>
          </w:p>
        </w:tc>
        <w:tc>
          <w:tcPr>
            <w:tcW w:w="247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4A0EB7F" w14:textId="77777777" w:rsidR="00C63E11" w:rsidRPr="00C63E11" w:rsidRDefault="00C63E11" w:rsidP="00C63E11">
            <w:pPr>
              <w:rPr>
                <w:rFonts w:ascii="Times New Roman" w:hAnsi="Times New Roman" w:cs="Times New Roman"/>
              </w:rPr>
            </w:pPr>
          </w:p>
        </w:tc>
      </w:tr>
    </w:tbl>
    <w:p w14:paraId="67C4F464" w14:textId="77777777" w:rsidR="00C63E11" w:rsidRPr="00C63E11" w:rsidRDefault="00C63E11" w:rsidP="00C63E11">
      <w:pPr>
        <w:spacing w:after="80"/>
        <w:jc w:val="both"/>
        <w:rPr>
          <w:rFonts w:ascii="Times New Roman" w:hAnsi="Times New Roman" w:cs="Times New Roman"/>
        </w:rPr>
      </w:pPr>
    </w:p>
    <w:p w14:paraId="09E089FB" w14:textId="77777777" w:rsidR="00C63E11" w:rsidRPr="0017040C" w:rsidRDefault="00C63E11" w:rsidP="00C63E11">
      <w:pPr>
        <w:pStyle w:val="2"/>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Part B: Key Personnel Threshold Assessment (Pass / Fail)</w:t>
      </w:r>
    </w:p>
    <w:p w14:paraId="061A1A02"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Firms must submit brief CVs (maximum two pages each) for the proposed Team Leader and Verification/M&amp;E Specialist. These two positions are assessed on a pass/fail basis against the minimum thresholds below. A firm that does not meet all thresholds for both positions will not be shortlisted, regardless of its Part A score. CVs for the Data Analyst and IT Systems Specialist are not required at the EOI stage but will be required in full at the proposal stage.</w:t>
      </w:r>
    </w:p>
    <w:p w14:paraId="32647E91" w14:textId="77777777" w:rsidR="00C63E11" w:rsidRPr="0017040C" w:rsidRDefault="00C63E11" w:rsidP="00C63E11">
      <w:pPr>
        <w:spacing w:after="80"/>
        <w:jc w:val="both"/>
        <w:rPr>
          <w:rFonts w:ascii="Times New Roman" w:hAnsi="Times New Roman" w:cs="Times New Roman"/>
          <w:lang w:val="en-US"/>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4326"/>
        <w:gridCol w:w="1300"/>
        <w:gridCol w:w="1200"/>
      </w:tblGrid>
      <w:tr w:rsidR="00C63E11" w:rsidRPr="00C63E11" w14:paraId="4578FEB5" w14:textId="77777777" w:rsidTr="00C63E11">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4585139" w14:textId="77777777" w:rsidR="00C63E11" w:rsidRPr="00C63E11" w:rsidRDefault="00C63E11" w:rsidP="00C63E11">
            <w:pPr>
              <w:jc w:val="center"/>
              <w:rPr>
                <w:rFonts w:ascii="Times New Roman" w:hAnsi="Times New Roman" w:cs="Times New Roman"/>
              </w:rPr>
            </w:pPr>
            <w:proofErr w:type="spellStart"/>
            <w:r w:rsidRPr="00C63E11">
              <w:rPr>
                <w:rFonts w:ascii="Times New Roman" w:hAnsi="Times New Roman" w:cs="Times New Roman"/>
                <w:b/>
                <w:bCs/>
              </w:rPr>
              <w:t>Position</w:t>
            </w:r>
            <w:proofErr w:type="spellEnd"/>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B30DBA9"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Minimum Threshold</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C67C812"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Pass / Fail</w:t>
            </w:r>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4734709"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b/>
                <w:bCs/>
              </w:rPr>
              <w:t>Evidence</w:t>
            </w:r>
          </w:p>
        </w:tc>
      </w:tr>
      <w:tr w:rsidR="00C63E11" w:rsidRPr="00C63E11" w14:paraId="4A860BFC" w14:textId="77777777" w:rsidTr="00C63E11">
        <w:tc>
          <w:tcPr>
            <w:tcW w:w="9026" w:type="dxa"/>
            <w:gridSpan w:val="4"/>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4DD048CF"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B.1 — Team Leader</w:t>
            </w:r>
          </w:p>
        </w:tc>
      </w:tr>
      <w:tr w:rsidR="00C63E11" w:rsidRPr="00C63E11" w14:paraId="45C51116" w14:textId="77777777" w:rsidTr="00264752">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38693C6"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General experience</w:t>
            </w:r>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CDFC283"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Minimum 8 years of experience in verification, program assessment, monitoring and evaluation, or similar assignments.</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F35DC2E" w14:textId="77777777" w:rsidR="00C63E11" w:rsidRPr="00C63E11" w:rsidRDefault="00C63E11" w:rsidP="00C63E11">
            <w:pPr>
              <w:jc w:val="center"/>
              <w:rPr>
                <w:rFonts w:ascii="Times New Roman" w:hAnsi="Times New Roman" w:cs="Times New Roman"/>
              </w:rPr>
            </w:pPr>
            <w:proofErr w:type="spellStart"/>
            <w:r w:rsidRPr="00C63E11">
              <w:rPr>
                <w:rFonts w:ascii="Times New Roman" w:hAnsi="Times New Roman" w:cs="Times New Roman"/>
              </w:rPr>
              <w:t>Pass</w:t>
            </w:r>
            <w:proofErr w:type="spellEnd"/>
            <w:r w:rsidRPr="00C63E11">
              <w:rPr>
                <w:rFonts w:ascii="Times New Roman" w:hAnsi="Times New Roman" w:cs="Times New Roman"/>
              </w:rPr>
              <w:t xml:space="preserve"> / </w:t>
            </w:r>
            <w:proofErr w:type="spellStart"/>
            <w:r w:rsidRPr="00C63E11">
              <w:rPr>
                <w:rFonts w:ascii="Times New Roman" w:hAnsi="Times New Roman" w:cs="Times New Roman"/>
              </w:rPr>
              <w:t>Fail</w:t>
            </w:r>
            <w:proofErr w:type="spellEnd"/>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04C9A37"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Signed CV</w:t>
            </w:r>
          </w:p>
        </w:tc>
      </w:tr>
      <w:tr w:rsidR="00C63E11" w:rsidRPr="00C63E11" w14:paraId="15779E59" w14:textId="77777777" w:rsidTr="00264752">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42D626B"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PforR knowledge</w:t>
            </w:r>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C256C27" w14:textId="77777777" w:rsidR="00C63E11" w:rsidRPr="00C63E11" w:rsidRDefault="00C63E11" w:rsidP="00C63E11">
            <w:pPr>
              <w:rPr>
                <w:rFonts w:ascii="Times New Roman" w:hAnsi="Times New Roman" w:cs="Times New Roman"/>
              </w:rPr>
            </w:pPr>
            <w:r w:rsidRPr="0017040C">
              <w:rPr>
                <w:rFonts w:ascii="Times New Roman" w:hAnsi="Times New Roman" w:cs="Times New Roman"/>
                <w:lang w:val="en-US"/>
              </w:rPr>
              <w:t xml:space="preserve">Demonstrated knowledge of the World Bank PforR instrument or results-based financing, evidenced by at least one prior PforR or RBF assignment. </w:t>
            </w:r>
            <w:proofErr w:type="spellStart"/>
            <w:r w:rsidRPr="00C63E11">
              <w:rPr>
                <w:rFonts w:ascii="Times New Roman" w:hAnsi="Times New Roman" w:cs="Times New Roman"/>
              </w:rPr>
              <w:t>This</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is</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the</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most</w:t>
            </w:r>
            <w:proofErr w:type="spellEnd"/>
            <w:r w:rsidRPr="00C63E11">
              <w:rPr>
                <w:rFonts w:ascii="Times New Roman" w:hAnsi="Times New Roman" w:cs="Times New Roman"/>
              </w:rPr>
              <w:t xml:space="preserve"> critical threshold for this position.</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2B2E05F"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Pass / Fail</w:t>
            </w:r>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3566BF0"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CV + contract reference</w:t>
            </w:r>
          </w:p>
        </w:tc>
      </w:tr>
      <w:tr w:rsidR="00C63E11" w:rsidRPr="00C63E11" w14:paraId="4FEB6190" w14:textId="77777777" w:rsidTr="00264752">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9026CBD"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WB social sector experience</w:t>
            </w:r>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D124F2C"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At least one completed assignment under a World Bank-financed social sector project (education, social protection, or human development).</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27433E3" w14:textId="77777777" w:rsidR="00C63E11" w:rsidRPr="00C63E11" w:rsidRDefault="00C63E11" w:rsidP="00C63E11">
            <w:pPr>
              <w:jc w:val="center"/>
              <w:rPr>
                <w:rFonts w:ascii="Times New Roman" w:hAnsi="Times New Roman" w:cs="Times New Roman"/>
              </w:rPr>
            </w:pPr>
            <w:proofErr w:type="spellStart"/>
            <w:r w:rsidRPr="00C63E11">
              <w:rPr>
                <w:rFonts w:ascii="Times New Roman" w:hAnsi="Times New Roman" w:cs="Times New Roman"/>
              </w:rPr>
              <w:t>Pass</w:t>
            </w:r>
            <w:proofErr w:type="spellEnd"/>
            <w:r w:rsidRPr="00C63E11">
              <w:rPr>
                <w:rFonts w:ascii="Times New Roman" w:hAnsi="Times New Roman" w:cs="Times New Roman"/>
              </w:rPr>
              <w:t xml:space="preserve"> / </w:t>
            </w:r>
            <w:proofErr w:type="spellStart"/>
            <w:r w:rsidRPr="00C63E11">
              <w:rPr>
                <w:rFonts w:ascii="Times New Roman" w:hAnsi="Times New Roman" w:cs="Times New Roman"/>
              </w:rPr>
              <w:t>Fail</w:t>
            </w:r>
            <w:proofErr w:type="spellEnd"/>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5EF74A54"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CV + contract reference</w:t>
            </w:r>
          </w:p>
        </w:tc>
      </w:tr>
      <w:tr w:rsidR="00C63E11" w:rsidRPr="0017040C" w14:paraId="28A5F522" w14:textId="77777777" w:rsidTr="00264752">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40AC47B"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Uzbek language</w:t>
            </w:r>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C205D20" w14:textId="77777777" w:rsidR="00C63E11" w:rsidRPr="00C63E11" w:rsidRDefault="00C63E11" w:rsidP="00C63E11">
            <w:pPr>
              <w:rPr>
                <w:rFonts w:ascii="Times New Roman" w:hAnsi="Times New Roman" w:cs="Times New Roman"/>
              </w:rPr>
            </w:pPr>
            <w:r w:rsidRPr="0017040C">
              <w:rPr>
                <w:rFonts w:ascii="Times New Roman" w:hAnsi="Times New Roman" w:cs="Times New Roman"/>
                <w:lang w:val="en-US"/>
              </w:rPr>
              <w:t xml:space="preserve">Working proficiency in the Uzbek language (spoken and written), essential for engagement with government counterparts and primary source documentation. </w:t>
            </w:r>
            <w:proofErr w:type="spellStart"/>
            <w:r w:rsidRPr="00C63E11">
              <w:rPr>
                <w:rFonts w:ascii="Times New Roman" w:hAnsi="Times New Roman" w:cs="Times New Roman"/>
              </w:rPr>
              <w:t>Native</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or</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near-native</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fluency</w:t>
            </w:r>
            <w:proofErr w:type="spellEnd"/>
            <w:r w:rsidRPr="00C63E11">
              <w:rPr>
                <w:rFonts w:ascii="Times New Roman" w:hAnsi="Times New Roman" w:cs="Times New Roman"/>
              </w:rPr>
              <w:t xml:space="preserve"> is strongly preferred.</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0A1888B" w14:textId="77777777" w:rsidR="00C63E11" w:rsidRPr="00C63E11" w:rsidRDefault="00C63E11" w:rsidP="00C63E11">
            <w:pPr>
              <w:jc w:val="center"/>
              <w:rPr>
                <w:rFonts w:ascii="Times New Roman" w:hAnsi="Times New Roman" w:cs="Times New Roman"/>
              </w:rPr>
            </w:pPr>
            <w:r w:rsidRPr="00C63E11">
              <w:rPr>
                <w:rFonts w:ascii="Times New Roman" w:hAnsi="Times New Roman" w:cs="Times New Roman"/>
              </w:rPr>
              <w:t>Pass / Fail</w:t>
            </w:r>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FFFEFF9"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CV; self-declaration or certificate</w:t>
            </w:r>
          </w:p>
        </w:tc>
      </w:tr>
      <w:tr w:rsidR="00C63E11" w:rsidRPr="0017040C" w14:paraId="519A3FAD" w14:textId="77777777" w:rsidTr="00C63E11">
        <w:tc>
          <w:tcPr>
            <w:tcW w:w="9026" w:type="dxa"/>
            <w:gridSpan w:val="4"/>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1B9D7D9"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b/>
                <w:bCs/>
                <w:lang w:val="en-US"/>
              </w:rPr>
              <w:t>B.2 — Verification and M&amp;E Specialist</w:t>
            </w:r>
          </w:p>
        </w:tc>
      </w:tr>
      <w:tr w:rsidR="00C63E11" w:rsidRPr="00C63E11" w14:paraId="48F6CDE7" w14:textId="77777777" w:rsidTr="00264752">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589B142"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lastRenderedPageBreak/>
              <w:t xml:space="preserve">General </w:t>
            </w:r>
            <w:proofErr w:type="spellStart"/>
            <w:r w:rsidRPr="00C63E11">
              <w:rPr>
                <w:rFonts w:ascii="Times New Roman" w:hAnsi="Times New Roman" w:cs="Times New Roman"/>
              </w:rPr>
              <w:t>experience</w:t>
            </w:r>
            <w:proofErr w:type="spellEnd"/>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E62008D"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Minimum 5 years of experience in monitoring and evaluation, sampling design, or verification of program indicators.</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00BBF752" w14:textId="77777777" w:rsidR="00C63E11" w:rsidRPr="00C63E11" w:rsidRDefault="00C63E11" w:rsidP="00C63E11">
            <w:pPr>
              <w:jc w:val="center"/>
              <w:rPr>
                <w:rFonts w:ascii="Times New Roman" w:hAnsi="Times New Roman" w:cs="Times New Roman"/>
              </w:rPr>
            </w:pPr>
            <w:proofErr w:type="spellStart"/>
            <w:r w:rsidRPr="00C63E11">
              <w:rPr>
                <w:rFonts w:ascii="Times New Roman" w:hAnsi="Times New Roman" w:cs="Times New Roman"/>
              </w:rPr>
              <w:t>Pass</w:t>
            </w:r>
            <w:proofErr w:type="spellEnd"/>
            <w:r w:rsidRPr="00C63E11">
              <w:rPr>
                <w:rFonts w:ascii="Times New Roman" w:hAnsi="Times New Roman" w:cs="Times New Roman"/>
              </w:rPr>
              <w:t xml:space="preserve"> / </w:t>
            </w:r>
            <w:proofErr w:type="spellStart"/>
            <w:r w:rsidRPr="00C63E11">
              <w:rPr>
                <w:rFonts w:ascii="Times New Roman" w:hAnsi="Times New Roman" w:cs="Times New Roman"/>
              </w:rPr>
              <w:t>Fail</w:t>
            </w:r>
            <w:proofErr w:type="spellEnd"/>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60BACF3"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Signed CV</w:t>
            </w:r>
          </w:p>
        </w:tc>
      </w:tr>
      <w:tr w:rsidR="00C63E11" w:rsidRPr="00C63E11" w14:paraId="50E986E4" w14:textId="77777777" w:rsidTr="00264752">
        <w:tc>
          <w:tcPr>
            <w:tcW w:w="2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F46043D"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Technical competence</w:t>
            </w:r>
          </w:p>
        </w:tc>
        <w:tc>
          <w:tcPr>
            <w:tcW w:w="43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7C1D7285"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Demonstrated experience in sampling methodology and review of administrative datasets from government agencies or financial institutions.</w:t>
            </w:r>
          </w:p>
        </w:tc>
        <w:tc>
          <w:tcPr>
            <w:tcW w:w="13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0BF5AC5" w14:textId="77777777" w:rsidR="00C63E11" w:rsidRPr="00C63E11" w:rsidRDefault="00C63E11" w:rsidP="00C63E11">
            <w:pPr>
              <w:jc w:val="center"/>
              <w:rPr>
                <w:rFonts w:ascii="Times New Roman" w:hAnsi="Times New Roman" w:cs="Times New Roman"/>
              </w:rPr>
            </w:pPr>
            <w:proofErr w:type="spellStart"/>
            <w:r w:rsidRPr="00C63E11">
              <w:rPr>
                <w:rFonts w:ascii="Times New Roman" w:hAnsi="Times New Roman" w:cs="Times New Roman"/>
              </w:rPr>
              <w:t>Pass</w:t>
            </w:r>
            <w:proofErr w:type="spellEnd"/>
            <w:r w:rsidRPr="00C63E11">
              <w:rPr>
                <w:rFonts w:ascii="Times New Roman" w:hAnsi="Times New Roman" w:cs="Times New Roman"/>
              </w:rPr>
              <w:t xml:space="preserve"> / </w:t>
            </w:r>
            <w:proofErr w:type="spellStart"/>
            <w:r w:rsidRPr="00C63E11">
              <w:rPr>
                <w:rFonts w:ascii="Times New Roman" w:hAnsi="Times New Roman" w:cs="Times New Roman"/>
              </w:rPr>
              <w:t>Fail</w:t>
            </w:r>
            <w:proofErr w:type="spellEnd"/>
          </w:p>
        </w:tc>
        <w:tc>
          <w:tcPr>
            <w:tcW w:w="12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809F430"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CV</w:t>
            </w:r>
          </w:p>
        </w:tc>
      </w:tr>
    </w:tbl>
    <w:p w14:paraId="29E8AE2C" w14:textId="77777777" w:rsidR="00C63E11" w:rsidRPr="00C63E11" w:rsidRDefault="00C63E11" w:rsidP="00C63E11">
      <w:pPr>
        <w:spacing w:after="80"/>
        <w:jc w:val="both"/>
        <w:rPr>
          <w:rFonts w:ascii="Times New Roman" w:hAnsi="Times New Roman" w:cs="Times New Roman"/>
        </w:rPr>
      </w:pPr>
    </w:p>
    <w:p w14:paraId="5E6EA38D"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Note: The pass/fail thresholds above are minimum eligibility requirements for shortlisting purposes only. Firms that pass all thresholds will proceed to Part A scoring. The full scored evaluation of all four key personnel positions will be conducted at the proposal stage in accordance with the detailed criteria set out in the RFP.</w:t>
      </w:r>
    </w:p>
    <w:p w14:paraId="558542B2" w14:textId="77777777" w:rsidR="00C63E11" w:rsidRPr="0017040C" w:rsidRDefault="00C63E11" w:rsidP="00C63E11">
      <w:pPr>
        <w:spacing w:after="80"/>
        <w:jc w:val="both"/>
        <w:rPr>
          <w:rFonts w:ascii="Times New Roman" w:hAnsi="Times New Roman" w:cs="Times New Roman"/>
          <w:lang w:val="en-US"/>
        </w:rPr>
      </w:pPr>
    </w:p>
    <w:p w14:paraId="745C84C5"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8. CONTENT OF THE EXPRESSION OF INTEREST</w:t>
      </w:r>
    </w:p>
    <w:p w14:paraId="1C5E7F2B"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 xml:space="preserve">Interested firms must submit their Expression of Interest in English. The EOI shall not exceed 30 pages, </w:t>
      </w:r>
      <w:proofErr w:type="gramStart"/>
      <w:r w:rsidRPr="0017040C">
        <w:rPr>
          <w:rFonts w:ascii="Times New Roman" w:hAnsi="Times New Roman" w:cs="Times New Roman"/>
          <w:lang w:val="en-US"/>
        </w:rPr>
        <w:t>excluding</w:t>
      </w:r>
      <w:proofErr w:type="gramEnd"/>
      <w:r w:rsidRPr="0017040C">
        <w:rPr>
          <w:rFonts w:ascii="Times New Roman" w:hAnsi="Times New Roman" w:cs="Times New Roman"/>
          <w:lang w:val="en-US"/>
        </w:rPr>
        <w:t xml:space="preserve"> CVs and supporting annexes, and must include the following:</w:t>
      </w:r>
    </w:p>
    <w:p w14:paraId="70414300" w14:textId="77777777" w:rsidR="00C63E11" w:rsidRPr="0017040C" w:rsidRDefault="00C63E11" w:rsidP="00C63E11">
      <w:pPr>
        <w:spacing w:after="80"/>
        <w:jc w:val="both"/>
        <w:rPr>
          <w:rFonts w:ascii="Times New Roman" w:hAnsi="Times New Roman" w:cs="Times New Roman"/>
          <w:lang w:val="en-US"/>
        </w:rPr>
      </w:pPr>
    </w:p>
    <w:p w14:paraId="12B4418D" w14:textId="77777777" w:rsidR="00C63E11" w:rsidRPr="0017040C" w:rsidRDefault="00C63E11" w:rsidP="00C63E11">
      <w:pPr>
        <w:pStyle w:val="a7"/>
        <w:numPr>
          <w:ilvl w:val="0"/>
          <w:numId w:val="2"/>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Cover letter on firm letterhead, signed by an authorized representative, confirming the firm's interest and eligibility.</w:t>
      </w:r>
    </w:p>
    <w:p w14:paraId="28437CF0" w14:textId="77777777" w:rsidR="00C63E11" w:rsidRPr="0017040C" w:rsidRDefault="00C63E11" w:rsidP="00C63E11">
      <w:pPr>
        <w:pStyle w:val="a7"/>
        <w:numPr>
          <w:ilvl w:val="0"/>
          <w:numId w:val="2"/>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Firm profile: legal name, country of incorporation, registration number, year of establishment, and description of core business activities.</w:t>
      </w:r>
    </w:p>
    <w:p w14:paraId="401CDE4D" w14:textId="77777777" w:rsidR="00C63E11" w:rsidRPr="0017040C" w:rsidRDefault="00C63E11" w:rsidP="00C63E11">
      <w:pPr>
        <w:pStyle w:val="a7"/>
        <w:numPr>
          <w:ilvl w:val="0"/>
          <w:numId w:val="2"/>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Evidence of legal registration in Uzbekistan or a registered local presence, if applicable; or a statement of intent to establish registration or a teaming arrangement with a locally registered entity prior to contract award.</w:t>
      </w:r>
    </w:p>
    <w:p w14:paraId="2E890505" w14:textId="77777777" w:rsidR="00C63E11" w:rsidRPr="0017040C" w:rsidRDefault="00C63E11" w:rsidP="00C63E11">
      <w:pPr>
        <w:pStyle w:val="a7"/>
        <w:numPr>
          <w:ilvl w:val="0"/>
          <w:numId w:val="2"/>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Summary of relevant experience: a table listing at least two completed contracts of similar nature within the last seven years, with client name, assignment title, contract value, dates, and description of scope including DLR or RBF elements where applicable. Supporting documentation (completion certificates, client reference letters, or contract excerpts) is encouraged.</w:t>
      </w:r>
    </w:p>
    <w:p w14:paraId="59924A83" w14:textId="77777777" w:rsidR="00C63E11" w:rsidRPr="00C63E11" w:rsidRDefault="00C63E11" w:rsidP="00C63E11">
      <w:pPr>
        <w:pStyle w:val="a7"/>
        <w:numPr>
          <w:ilvl w:val="0"/>
          <w:numId w:val="2"/>
        </w:numPr>
        <w:spacing w:before="40" w:after="60"/>
        <w:contextualSpacing w:val="0"/>
        <w:rPr>
          <w:rFonts w:ascii="Times New Roman" w:hAnsi="Times New Roman" w:cs="Times New Roman"/>
        </w:rPr>
      </w:pPr>
      <w:r w:rsidRPr="0017040C">
        <w:rPr>
          <w:rFonts w:ascii="Times New Roman" w:hAnsi="Times New Roman" w:cs="Times New Roman"/>
          <w:lang w:val="en-US"/>
        </w:rPr>
        <w:t xml:space="preserve">CVs of the proposed Team Leader and Verification/M&amp;E Specialist, each not exceeding two pages, demonstrating compliance with the Part B thresholds in Section 7. </w:t>
      </w:r>
      <w:proofErr w:type="spellStart"/>
      <w:r w:rsidRPr="00C63E11">
        <w:rPr>
          <w:rFonts w:ascii="Times New Roman" w:hAnsi="Times New Roman" w:cs="Times New Roman"/>
        </w:rPr>
        <w:t>CVs</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must</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be</w:t>
      </w:r>
      <w:proofErr w:type="spellEnd"/>
      <w:r w:rsidRPr="00C63E11">
        <w:rPr>
          <w:rFonts w:ascii="Times New Roman" w:hAnsi="Times New Roman" w:cs="Times New Roman"/>
        </w:rPr>
        <w:t xml:space="preserve"> </w:t>
      </w:r>
      <w:proofErr w:type="spellStart"/>
      <w:r w:rsidRPr="00C63E11">
        <w:rPr>
          <w:rFonts w:ascii="Times New Roman" w:hAnsi="Times New Roman" w:cs="Times New Roman"/>
        </w:rPr>
        <w:t>signed</w:t>
      </w:r>
      <w:proofErr w:type="spellEnd"/>
      <w:r w:rsidRPr="00C63E11">
        <w:rPr>
          <w:rFonts w:ascii="Times New Roman" w:hAnsi="Times New Roman" w:cs="Times New Roman"/>
        </w:rPr>
        <w:t xml:space="preserve"> by the proposed expert.</w:t>
      </w:r>
    </w:p>
    <w:p w14:paraId="5C41582F" w14:textId="77777777" w:rsidR="00C63E11" w:rsidRPr="0017040C" w:rsidRDefault="00C63E11" w:rsidP="00C63E11">
      <w:pPr>
        <w:pStyle w:val="a7"/>
        <w:numPr>
          <w:ilvl w:val="0"/>
          <w:numId w:val="2"/>
        </w:numPr>
        <w:spacing w:before="40" w:after="60"/>
        <w:contextualSpacing w:val="0"/>
        <w:rPr>
          <w:rFonts w:ascii="Times New Roman" w:hAnsi="Times New Roman" w:cs="Times New Roman"/>
          <w:lang w:val="en-US"/>
        </w:rPr>
      </w:pPr>
      <w:r w:rsidRPr="0017040C">
        <w:rPr>
          <w:rFonts w:ascii="Times New Roman" w:hAnsi="Times New Roman" w:cs="Times New Roman"/>
          <w:lang w:val="en-US"/>
        </w:rPr>
        <w:t>Declaration signed by an authorized representative confirming: (a) no conflict of interest as defined in Section 6.4; (b) the firm is not listed on the World Bank debarment list; and (c) the firm is not registered in any jurisdiction on the list of offshore zones under Uzbek law.</w:t>
      </w:r>
    </w:p>
    <w:p w14:paraId="51E0DFAF" w14:textId="77777777" w:rsidR="00C63E11" w:rsidRPr="0017040C" w:rsidRDefault="00C63E11" w:rsidP="00C63E11">
      <w:pPr>
        <w:spacing w:after="80"/>
        <w:jc w:val="both"/>
        <w:rPr>
          <w:rFonts w:ascii="Times New Roman" w:hAnsi="Times New Roman" w:cs="Times New Roman"/>
          <w:lang w:val="en-US"/>
        </w:rPr>
      </w:pPr>
    </w:p>
    <w:p w14:paraId="3AF229E5"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CVs for the Data Analyst and IT Systems Specialist are not required at the EOI stage. All four key personnel CVs will be required in full at the proposal stage.</w:t>
      </w:r>
    </w:p>
    <w:p w14:paraId="773E108D"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9. SELECTION PROCESS AND BANK REVIEW ARRANGEMENTS</w:t>
      </w:r>
    </w:p>
    <w:p w14:paraId="230DF3AD"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This assignment is procured using the Consultant Qualification Selection (CQS) method under the World Bank Procurement Regulations for IPF Borrowers. The estimated contract value of US$165,000 falls below the applicable prior review threshold; accordingly, this assignment is subject to World Bank post review only. MEF is responsible for conducting the selection process in accordance with the Procurement Regulations, and the World Bank may review procurement records at any time during post review supervision.</w:t>
      </w:r>
    </w:p>
    <w:p w14:paraId="6949F076" w14:textId="77528ACD"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The selection process will proceed as follows. ELFFMD will evaluate all EOIs received against the shortlisting criteria in Section 7. Firms that do not meet all Part B pass/fail thresholds will be excluded from further consideration. Among the remaining firms, ELFFMD will rank them against the Part A scored criteria and identify the firm with the best overall qualifications.</w:t>
      </w:r>
      <w:r w:rsidR="002F17BE" w:rsidRPr="0017040C">
        <w:rPr>
          <w:lang w:val="en-US"/>
        </w:rPr>
        <w:t xml:space="preserve"> </w:t>
      </w:r>
      <w:r w:rsidR="002F17BE" w:rsidRPr="0017040C">
        <w:rPr>
          <w:rFonts w:ascii="Times New Roman" w:hAnsi="Times New Roman" w:cs="Times New Roman"/>
          <w:lang w:val="en-US"/>
        </w:rPr>
        <w:t>The highest-ranked qualified firm will be invited to submit a combined technical and financial proposal and, if found satisfactory, to enter into contract negotiations.</w:t>
      </w:r>
      <w:r w:rsidRPr="0017040C">
        <w:rPr>
          <w:rFonts w:ascii="Times New Roman" w:hAnsi="Times New Roman" w:cs="Times New Roman"/>
          <w:lang w:val="en-US"/>
        </w:rPr>
        <w:t xml:space="preserve"> MEF reserves the right to approach the next-ranked firm if the first-ranked firm's proposal is found unsatisfactory or if negotiations are unsuccessful.</w:t>
      </w:r>
    </w:p>
    <w:p w14:paraId="549ADD0C"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MEF reserves the right to annul this selection process at any stage without incurring any obligation to applicants.</w:t>
      </w:r>
    </w:p>
    <w:p w14:paraId="541EEAB4" w14:textId="77777777" w:rsidR="00C63E11" w:rsidRPr="00C63E11" w:rsidRDefault="00C63E11" w:rsidP="00C63E11">
      <w:pPr>
        <w:pStyle w:val="1"/>
        <w:pBdr>
          <w:bottom w:val="single" w:sz="6" w:space="1" w:color="1F3864"/>
        </w:pBdr>
        <w:rPr>
          <w:rFonts w:ascii="Times New Roman" w:hAnsi="Times New Roman" w:cs="Times New Roman"/>
          <w:color w:val="auto"/>
          <w:sz w:val="20"/>
          <w:szCs w:val="20"/>
        </w:rPr>
      </w:pPr>
      <w:r w:rsidRPr="00C63E11">
        <w:rPr>
          <w:rFonts w:ascii="Times New Roman" w:eastAsia="Arial" w:hAnsi="Times New Roman" w:cs="Times New Roman"/>
          <w:b/>
          <w:bCs/>
          <w:color w:val="auto"/>
          <w:sz w:val="20"/>
          <w:szCs w:val="20"/>
        </w:rPr>
        <w:t>10. SUBMISSION DETAILS</w:t>
      </w:r>
    </w:p>
    <w:p w14:paraId="411ED0F6" w14:textId="77777777" w:rsidR="00C63E11" w:rsidRPr="00C63E11" w:rsidRDefault="00C63E11" w:rsidP="00C63E11">
      <w:pPr>
        <w:spacing w:after="80"/>
        <w:jc w:val="both"/>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C63E11" w:rsidRPr="0017040C" w14:paraId="7A00A231"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5643317A"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lastRenderedPageBreak/>
              <w:t>Attention</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6ACDF36E"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PCO Coordinator, Education Loan Financing Fund Management Department (ELFFMD)</w:t>
            </w:r>
          </w:p>
        </w:tc>
      </w:tr>
      <w:tr w:rsidR="00C63E11" w:rsidRPr="0017040C" w14:paraId="67674BF6"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055B2CE9"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Organization</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5D6AAE8" w14:textId="77777777"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Ministry of Economy and Finance, Republic of Uzbekistan</w:t>
            </w:r>
          </w:p>
        </w:tc>
      </w:tr>
      <w:tr w:rsidR="00C63E11" w:rsidRPr="0017040C" w14:paraId="54A70DA9"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00DA19BA"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Physical</w:t>
            </w:r>
            <w:proofErr w:type="spellEnd"/>
            <w:r w:rsidRPr="00C63E11">
              <w:rPr>
                <w:rFonts w:ascii="Times New Roman" w:hAnsi="Times New Roman" w:cs="Times New Roman"/>
                <w:b/>
                <w:bCs/>
              </w:rPr>
              <w:t xml:space="preserve"> Address</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4A19A3A0" w14:textId="12583586" w:rsidR="00C63E11" w:rsidRPr="0017040C" w:rsidRDefault="0017040C" w:rsidP="00C63E11">
            <w:pPr>
              <w:rPr>
                <w:rFonts w:ascii="Times New Roman" w:hAnsi="Times New Roman" w:cs="Times New Roman"/>
                <w:lang w:val="en-US"/>
              </w:rPr>
            </w:pPr>
            <w:r w:rsidRPr="0017040C">
              <w:rPr>
                <w:rFonts w:ascii="Times New Roman" w:hAnsi="Times New Roman" w:cs="Times New Roman"/>
                <w:lang w:val="en-US"/>
              </w:rPr>
              <w:t xml:space="preserve">1, </w:t>
            </w:r>
            <w:proofErr w:type="spellStart"/>
            <w:r w:rsidRPr="0017040C">
              <w:rPr>
                <w:rFonts w:ascii="Times New Roman" w:hAnsi="Times New Roman" w:cs="Times New Roman"/>
                <w:lang w:val="en-US"/>
              </w:rPr>
              <w:t>Niyozbek</w:t>
            </w:r>
            <w:proofErr w:type="spellEnd"/>
            <w:r w:rsidRPr="0017040C">
              <w:rPr>
                <w:rFonts w:ascii="Times New Roman" w:hAnsi="Times New Roman" w:cs="Times New Roman"/>
                <w:lang w:val="en-US"/>
              </w:rPr>
              <w:t xml:space="preserve"> </w:t>
            </w:r>
            <w:proofErr w:type="spellStart"/>
            <w:r w:rsidRPr="0017040C">
              <w:rPr>
                <w:rFonts w:ascii="Times New Roman" w:hAnsi="Times New Roman" w:cs="Times New Roman"/>
                <w:lang w:val="en-US"/>
              </w:rPr>
              <w:t>yo'li</w:t>
            </w:r>
            <w:proofErr w:type="spellEnd"/>
            <w:r w:rsidR="00C63E11" w:rsidRPr="0017040C">
              <w:rPr>
                <w:rFonts w:ascii="Times New Roman" w:hAnsi="Times New Roman" w:cs="Times New Roman"/>
                <w:lang w:val="en-US"/>
              </w:rPr>
              <w:t xml:space="preserve"> Street, </w:t>
            </w:r>
            <w:proofErr w:type="spellStart"/>
            <w:r w:rsidR="00C63E11" w:rsidRPr="0017040C">
              <w:rPr>
                <w:rFonts w:ascii="Times New Roman" w:hAnsi="Times New Roman" w:cs="Times New Roman"/>
                <w:lang w:val="en-US"/>
              </w:rPr>
              <w:t>Yunusabad</w:t>
            </w:r>
            <w:proofErr w:type="spellEnd"/>
            <w:r w:rsidR="00C63E11" w:rsidRPr="0017040C">
              <w:rPr>
                <w:rFonts w:ascii="Times New Roman" w:hAnsi="Times New Roman" w:cs="Times New Roman"/>
                <w:lang w:val="en-US"/>
              </w:rPr>
              <w:t xml:space="preserve"> District, Tashkent 100017, Republic of Uzbekistan</w:t>
            </w:r>
          </w:p>
        </w:tc>
      </w:tr>
      <w:tr w:rsidR="00C63E11" w:rsidRPr="00C63E11" w14:paraId="7A66FAFE"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27C3FE36"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Telephone</w:t>
            </w:r>
            <w:proofErr w:type="spellEnd"/>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24FC3416" w14:textId="0982B19F" w:rsidR="00C63E11" w:rsidRPr="00C63E11" w:rsidRDefault="00C63E11" w:rsidP="00C63E11">
            <w:pPr>
              <w:rPr>
                <w:rFonts w:ascii="Times New Roman" w:hAnsi="Times New Roman" w:cs="Times New Roman"/>
              </w:rPr>
            </w:pPr>
            <w:r w:rsidRPr="00C63E11">
              <w:rPr>
                <w:rFonts w:ascii="Times New Roman" w:hAnsi="Times New Roman" w:cs="Times New Roman"/>
              </w:rPr>
              <w:t xml:space="preserve">+998 </w:t>
            </w:r>
            <w:r w:rsidR="0017040C">
              <w:rPr>
                <w:rFonts w:ascii="Times New Roman" w:hAnsi="Times New Roman" w:cs="Times New Roman"/>
              </w:rPr>
              <w:t>97</w:t>
            </w:r>
            <w:r w:rsidRPr="00C63E11">
              <w:rPr>
                <w:rFonts w:ascii="Times New Roman" w:hAnsi="Times New Roman" w:cs="Times New Roman"/>
              </w:rPr>
              <w:t xml:space="preserve"> </w:t>
            </w:r>
            <w:r w:rsidR="0017040C">
              <w:rPr>
                <w:rFonts w:ascii="Times New Roman" w:hAnsi="Times New Roman" w:cs="Times New Roman"/>
              </w:rPr>
              <w:t>447</w:t>
            </w:r>
            <w:r w:rsidRPr="00C63E11">
              <w:rPr>
                <w:rFonts w:ascii="Times New Roman" w:hAnsi="Times New Roman" w:cs="Times New Roman"/>
              </w:rPr>
              <w:t>-</w:t>
            </w:r>
            <w:r w:rsidR="0017040C">
              <w:rPr>
                <w:rFonts w:ascii="Times New Roman" w:hAnsi="Times New Roman" w:cs="Times New Roman"/>
              </w:rPr>
              <w:t>86</w:t>
            </w:r>
            <w:r w:rsidRPr="00C63E11">
              <w:rPr>
                <w:rFonts w:ascii="Times New Roman" w:hAnsi="Times New Roman" w:cs="Times New Roman"/>
              </w:rPr>
              <w:t>-</w:t>
            </w:r>
            <w:r w:rsidR="0017040C">
              <w:rPr>
                <w:rFonts w:ascii="Times New Roman" w:hAnsi="Times New Roman" w:cs="Times New Roman"/>
              </w:rPr>
              <w:t>11</w:t>
            </w:r>
          </w:p>
        </w:tc>
      </w:tr>
      <w:tr w:rsidR="00C63E11" w:rsidRPr="0017040C" w14:paraId="4367CC9D"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5BB7DBA8"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Email</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7729FC3" w14:textId="71D16EA7" w:rsidR="00C63E11" w:rsidRPr="0017040C" w:rsidRDefault="0017040C" w:rsidP="00C63E11">
            <w:pPr>
              <w:rPr>
                <w:rFonts w:ascii="Times New Roman" w:hAnsi="Times New Roman" w:cs="Times New Roman"/>
                <w:highlight w:val="yellow"/>
                <w:lang w:val="en-US"/>
              </w:rPr>
            </w:pPr>
            <w:hyperlink r:id="rId5" w:history="1">
              <w:r w:rsidRPr="001C782C">
                <w:rPr>
                  <w:rStyle w:val="ac"/>
                  <w:rFonts w:ascii="Times New Roman" w:hAnsi="Times New Roman" w:cs="Times New Roman"/>
                  <w:lang/>
                </w:rPr>
                <w:t>gfppp181956@gmail.com</w:t>
              </w:r>
            </w:hyperlink>
          </w:p>
        </w:tc>
      </w:tr>
      <w:tr w:rsidR="00C63E11" w:rsidRPr="0017040C" w14:paraId="7D7C6F76"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00217589"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Submission</w:t>
            </w:r>
            <w:proofErr w:type="spellEnd"/>
            <w:r w:rsidRPr="00C63E11">
              <w:rPr>
                <w:rFonts w:ascii="Times New Roman" w:hAnsi="Times New Roman" w:cs="Times New Roman"/>
                <w:b/>
                <w:bCs/>
              </w:rPr>
              <w:t xml:space="preserve"> </w:t>
            </w:r>
            <w:proofErr w:type="spellStart"/>
            <w:r w:rsidRPr="00C63E11">
              <w:rPr>
                <w:rFonts w:ascii="Times New Roman" w:hAnsi="Times New Roman" w:cs="Times New Roman"/>
                <w:b/>
                <w:bCs/>
              </w:rPr>
              <w:t>Deadline</w:t>
            </w:r>
            <w:proofErr w:type="spellEnd"/>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1EA6BBB9" w14:textId="571D1729" w:rsidR="00C63E11" w:rsidRPr="0017040C" w:rsidRDefault="0017040C" w:rsidP="00C63E11">
            <w:pPr>
              <w:rPr>
                <w:rFonts w:ascii="Times New Roman" w:hAnsi="Times New Roman" w:cs="Times New Roman"/>
                <w:highlight w:val="yellow"/>
                <w:lang w:val="en-US"/>
              </w:rPr>
            </w:pPr>
            <w:r w:rsidRPr="0017040C">
              <w:rPr>
                <w:rFonts w:ascii="Times New Roman" w:hAnsi="Times New Roman" w:cs="Times New Roman"/>
                <w:lang w:val="en-US"/>
              </w:rPr>
              <w:t xml:space="preserve">April </w:t>
            </w:r>
            <w:r w:rsidRPr="0099783A">
              <w:rPr>
                <w:rFonts w:ascii="Times New Roman" w:hAnsi="Times New Roman" w:cs="Times New Roman"/>
                <w:lang w:val="en-US"/>
              </w:rPr>
              <w:t xml:space="preserve">28, </w:t>
            </w:r>
            <w:r w:rsidRPr="0017040C">
              <w:rPr>
                <w:rFonts w:ascii="Times New Roman" w:hAnsi="Times New Roman" w:cs="Times New Roman"/>
                <w:lang w:val="en-US"/>
              </w:rPr>
              <w:t>2026</w:t>
            </w:r>
            <w:r w:rsidRPr="0099783A">
              <w:rPr>
                <w:rFonts w:ascii="Times New Roman" w:hAnsi="Times New Roman" w:cs="Times New Roman"/>
                <w:lang w:val="en-US"/>
              </w:rPr>
              <w:t xml:space="preserve">, </w:t>
            </w:r>
            <w:r w:rsidRPr="0017040C">
              <w:rPr>
                <w:rFonts w:ascii="Times New Roman" w:hAnsi="Times New Roman" w:cs="Times New Roman"/>
                <w:lang w:val="en-US"/>
              </w:rPr>
              <w:t>at 18:00 hours Tashkent time</w:t>
            </w:r>
          </w:p>
        </w:tc>
      </w:tr>
      <w:tr w:rsidR="00C63E11" w:rsidRPr="0017040C" w14:paraId="51FADE8E"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29CD067E" w14:textId="77777777" w:rsidR="00C63E11" w:rsidRPr="00C63E11" w:rsidRDefault="00C63E11" w:rsidP="00C63E11">
            <w:pPr>
              <w:rPr>
                <w:rFonts w:ascii="Times New Roman" w:hAnsi="Times New Roman" w:cs="Times New Roman"/>
              </w:rPr>
            </w:pPr>
            <w:proofErr w:type="spellStart"/>
            <w:r w:rsidRPr="00C63E11">
              <w:rPr>
                <w:rFonts w:ascii="Times New Roman" w:hAnsi="Times New Roman" w:cs="Times New Roman"/>
                <w:b/>
                <w:bCs/>
              </w:rPr>
              <w:t>Submission</w:t>
            </w:r>
            <w:proofErr w:type="spellEnd"/>
            <w:r w:rsidRPr="00C63E11">
              <w:rPr>
                <w:rFonts w:ascii="Times New Roman" w:hAnsi="Times New Roman" w:cs="Times New Roman"/>
                <w:b/>
                <w:bCs/>
              </w:rPr>
              <w:t xml:space="preserve"> Format</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97ED695" w14:textId="77A967AF" w:rsidR="00C63E11" w:rsidRPr="0017040C" w:rsidRDefault="00C63E11" w:rsidP="00C63E11">
            <w:pPr>
              <w:rPr>
                <w:rFonts w:ascii="Times New Roman" w:hAnsi="Times New Roman" w:cs="Times New Roman"/>
                <w:lang w:val="en-US"/>
              </w:rPr>
            </w:pPr>
            <w:r w:rsidRPr="0017040C">
              <w:rPr>
                <w:rFonts w:ascii="Times New Roman" w:hAnsi="Times New Roman" w:cs="Times New Roman"/>
                <w:lang w:val="en-US"/>
              </w:rPr>
              <w:t>Electronic submission by email (PDF, with signed cover letter scanned) or hand delivery in a sealed envelope marked with reference UZ-MEF</w:t>
            </w:r>
            <w:r w:rsidR="0017040C" w:rsidRPr="0017040C">
              <w:rPr>
                <w:rFonts w:ascii="Times New Roman" w:hAnsi="Times New Roman" w:cs="Times New Roman"/>
                <w:lang w:val="en-US"/>
              </w:rPr>
              <w:t>-11-CS-CQS</w:t>
            </w:r>
          </w:p>
        </w:tc>
      </w:tr>
      <w:tr w:rsidR="00C63E11" w:rsidRPr="00C63E11" w14:paraId="47798326" w14:textId="77777777" w:rsidTr="00264752">
        <w:tc>
          <w:tcPr>
            <w:tcW w:w="3200" w:type="dxa"/>
            <w:tcBorders>
              <w:top w:val="single" w:sz="4" w:space="0" w:color="CCCCCC"/>
              <w:left w:val="single" w:sz="4" w:space="0" w:color="CCCCCC"/>
              <w:bottom w:val="single" w:sz="4" w:space="0" w:color="CCCCCC"/>
              <w:right w:val="single" w:sz="4" w:space="0" w:color="CCCCCC"/>
            </w:tcBorders>
            <w:shd w:val="clear" w:color="auto" w:fill="EBF3FB"/>
            <w:tcMar>
              <w:top w:w="80" w:type="dxa"/>
              <w:left w:w="120" w:type="dxa"/>
              <w:bottom w:w="80" w:type="dxa"/>
              <w:right w:w="120" w:type="dxa"/>
            </w:tcMar>
            <w:vAlign w:val="center"/>
          </w:tcPr>
          <w:p w14:paraId="2038D1EB" w14:textId="77777777" w:rsidR="00C63E11" w:rsidRPr="00C63E11" w:rsidRDefault="00C63E11" w:rsidP="00C63E11">
            <w:pPr>
              <w:rPr>
                <w:rFonts w:ascii="Times New Roman" w:hAnsi="Times New Roman" w:cs="Times New Roman"/>
              </w:rPr>
            </w:pPr>
            <w:r w:rsidRPr="00C63E11">
              <w:rPr>
                <w:rFonts w:ascii="Times New Roman" w:hAnsi="Times New Roman" w:cs="Times New Roman"/>
                <w:b/>
                <w:bCs/>
              </w:rPr>
              <w:t>Language</w:t>
            </w:r>
          </w:p>
        </w:tc>
        <w:tc>
          <w:tcPr>
            <w:tcW w:w="5826"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vAlign w:val="center"/>
          </w:tcPr>
          <w:p w14:paraId="3ED9E02A" w14:textId="77777777" w:rsidR="00C63E11" w:rsidRPr="00C63E11" w:rsidRDefault="00C63E11" w:rsidP="00C63E11">
            <w:pPr>
              <w:rPr>
                <w:rFonts w:ascii="Times New Roman" w:hAnsi="Times New Roman" w:cs="Times New Roman"/>
              </w:rPr>
            </w:pPr>
            <w:r w:rsidRPr="00C63E11">
              <w:rPr>
                <w:rFonts w:ascii="Times New Roman" w:hAnsi="Times New Roman" w:cs="Times New Roman"/>
              </w:rPr>
              <w:t>English</w:t>
            </w:r>
          </w:p>
        </w:tc>
      </w:tr>
    </w:tbl>
    <w:p w14:paraId="1BA9251E" w14:textId="77777777" w:rsidR="00C63E11" w:rsidRPr="00C63E11" w:rsidRDefault="00C63E11" w:rsidP="00C63E11">
      <w:pPr>
        <w:spacing w:after="80"/>
        <w:jc w:val="both"/>
        <w:rPr>
          <w:rFonts w:ascii="Times New Roman" w:hAnsi="Times New Roman" w:cs="Times New Roman"/>
        </w:rPr>
      </w:pPr>
    </w:p>
    <w:p w14:paraId="4301C158"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EOIs received after the specified deadline will not be considered. MEF shall not be responsible for any costs incurred by firms in the preparation and submission of an Expression of Interest. This notice does not constitute a commitment by MEF to proceed with procurement or to contract any firm.</w:t>
      </w:r>
    </w:p>
    <w:p w14:paraId="356337D1" w14:textId="77777777" w:rsidR="00C63E11" w:rsidRPr="0017040C" w:rsidRDefault="00C63E11" w:rsidP="00C63E11">
      <w:pPr>
        <w:pStyle w:val="1"/>
        <w:pBdr>
          <w:bottom w:val="single" w:sz="6" w:space="1" w:color="1F3864"/>
        </w:pBdr>
        <w:rPr>
          <w:rFonts w:ascii="Times New Roman" w:hAnsi="Times New Roman" w:cs="Times New Roman"/>
          <w:color w:val="auto"/>
          <w:sz w:val="20"/>
          <w:szCs w:val="20"/>
          <w:lang w:val="en-US"/>
        </w:rPr>
      </w:pPr>
      <w:r w:rsidRPr="0017040C">
        <w:rPr>
          <w:rFonts w:ascii="Times New Roman" w:eastAsia="Arial" w:hAnsi="Times New Roman" w:cs="Times New Roman"/>
          <w:b/>
          <w:bCs/>
          <w:color w:val="auto"/>
          <w:sz w:val="20"/>
          <w:szCs w:val="20"/>
          <w:lang w:val="en-US"/>
        </w:rPr>
        <w:t>11. APPLICABLE REGULATIONS</w:t>
      </w:r>
    </w:p>
    <w:p w14:paraId="3A612784" w14:textId="77777777" w:rsidR="00C63E11" w:rsidRPr="0017040C" w:rsidRDefault="00C63E11" w:rsidP="00C63E11">
      <w:pPr>
        <w:spacing w:after="140"/>
        <w:jc w:val="both"/>
        <w:rPr>
          <w:rFonts w:ascii="Times New Roman" w:hAnsi="Times New Roman" w:cs="Times New Roman"/>
          <w:lang w:val="en-US"/>
        </w:rPr>
      </w:pPr>
      <w:r w:rsidRPr="0017040C">
        <w:rPr>
          <w:rFonts w:ascii="Times New Roman" w:hAnsi="Times New Roman" w:cs="Times New Roman"/>
          <w:lang w:val="en-US"/>
        </w:rPr>
        <w:t>This selection is governed by the World Bank Procurement Regulations for IPF Borrowers (Seventh Edition, September 2023). The World Bank Anti-Corruption Guidelines applicable to Program-for-Results Financing (dated February 1, 2012, revised July 10, 2015) apply to all aspects of this process. Interested firms and their personnel are expected to observe the highest standards of ethics throughout.</w:t>
      </w:r>
    </w:p>
    <w:p w14:paraId="6DD5E692" w14:textId="77777777" w:rsidR="001A396E" w:rsidRPr="0017040C" w:rsidRDefault="001A396E" w:rsidP="00C63E11">
      <w:pPr>
        <w:rPr>
          <w:rFonts w:ascii="Times New Roman" w:hAnsi="Times New Roman" w:cs="Times New Roman"/>
          <w:lang w:val="en-US"/>
        </w:rPr>
      </w:pPr>
    </w:p>
    <w:sectPr w:rsidR="001A396E" w:rsidRPr="0017040C" w:rsidSect="00C63E11">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6ECD"/>
    <w:multiLevelType w:val="hybridMultilevel"/>
    <w:tmpl w:val="DEFAADBA"/>
    <w:lvl w:ilvl="0" w:tplc="44BE845E">
      <w:start w:val="1"/>
      <w:numFmt w:val="decimal"/>
      <w:lvlText w:val="%1."/>
      <w:lvlJc w:val="left"/>
      <w:pPr>
        <w:ind w:left="720" w:hanging="360"/>
      </w:pPr>
    </w:lvl>
    <w:lvl w:ilvl="1" w:tplc="92B0DB5A">
      <w:numFmt w:val="decimal"/>
      <w:lvlText w:val=""/>
      <w:lvlJc w:val="left"/>
    </w:lvl>
    <w:lvl w:ilvl="2" w:tplc="CDDE6CFE">
      <w:numFmt w:val="decimal"/>
      <w:lvlText w:val=""/>
      <w:lvlJc w:val="left"/>
    </w:lvl>
    <w:lvl w:ilvl="3" w:tplc="A9EEB8C2">
      <w:numFmt w:val="decimal"/>
      <w:lvlText w:val=""/>
      <w:lvlJc w:val="left"/>
    </w:lvl>
    <w:lvl w:ilvl="4" w:tplc="8E720ECE">
      <w:numFmt w:val="decimal"/>
      <w:lvlText w:val=""/>
      <w:lvlJc w:val="left"/>
    </w:lvl>
    <w:lvl w:ilvl="5" w:tplc="6812E1F2">
      <w:numFmt w:val="decimal"/>
      <w:lvlText w:val=""/>
      <w:lvlJc w:val="left"/>
    </w:lvl>
    <w:lvl w:ilvl="6" w:tplc="943EB866">
      <w:numFmt w:val="decimal"/>
      <w:lvlText w:val=""/>
      <w:lvlJc w:val="left"/>
    </w:lvl>
    <w:lvl w:ilvl="7" w:tplc="AA1C61AC">
      <w:numFmt w:val="decimal"/>
      <w:lvlText w:val=""/>
      <w:lvlJc w:val="left"/>
    </w:lvl>
    <w:lvl w:ilvl="8" w:tplc="7C94D55A">
      <w:numFmt w:val="decimal"/>
      <w:lvlText w:val=""/>
      <w:lvlJc w:val="left"/>
    </w:lvl>
  </w:abstractNum>
  <w:abstractNum w:abstractNumId="1" w15:restartNumberingAfterBreak="0">
    <w:nsid w:val="212125ED"/>
    <w:multiLevelType w:val="hybridMultilevel"/>
    <w:tmpl w:val="7F30D526"/>
    <w:lvl w:ilvl="0" w:tplc="BB9E17B4">
      <w:start w:val="1"/>
      <w:numFmt w:val="bullet"/>
      <w:lvlText w:val="•"/>
      <w:lvlJc w:val="left"/>
      <w:pPr>
        <w:ind w:left="720" w:hanging="360"/>
      </w:pPr>
    </w:lvl>
    <w:lvl w:ilvl="1" w:tplc="B2247D22">
      <w:numFmt w:val="decimal"/>
      <w:lvlText w:val=""/>
      <w:lvlJc w:val="left"/>
    </w:lvl>
    <w:lvl w:ilvl="2" w:tplc="FEA21420">
      <w:numFmt w:val="decimal"/>
      <w:lvlText w:val=""/>
      <w:lvlJc w:val="left"/>
    </w:lvl>
    <w:lvl w:ilvl="3" w:tplc="91F034F8">
      <w:numFmt w:val="decimal"/>
      <w:lvlText w:val=""/>
      <w:lvlJc w:val="left"/>
    </w:lvl>
    <w:lvl w:ilvl="4" w:tplc="900824BC">
      <w:numFmt w:val="decimal"/>
      <w:lvlText w:val=""/>
      <w:lvlJc w:val="left"/>
    </w:lvl>
    <w:lvl w:ilvl="5" w:tplc="85F6CEF8">
      <w:numFmt w:val="decimal"/>
      <w:lvlText w:val=""/>
      <w:lvlJc w:val="left"/>
    </w:lvl>
    <w:lvl w:ilvl="6" w:tplc="858CB67A">
      <w:numFmt w:val="decimal"/>
      <w:lvlText w:val=""/>
      <w:lvlJc w:val="left"/>
    </w:lvl>
    <w:lvl w:ilvl="7" w:tplc="FC14436E">
      <w:numFmt w:val="decimal"/>
      <w:lvlText w:val=""/>
      <w:lvlJc w:val="left"/>
    </w:lvl>
    <w:lvl w:ilvl="8" w:tplc="5D7A6B64">
      <w:numFmt w:val="decimal"/>
      <w:lvlText w:val=""/>
      <w:lvlJc w:val="left"/>
    </w:lvl>
  </w:abstractNum>
  <w:num w:numId="1" w16cid:durableId="382945950">
    <w:abstractNumId w:val="0"/>
    <w:lvlOverride w:ilvl="0">
      <w:startOverride w:val="1"/>
    </w:lvlOverride>
  </w:num>
  <w:num w:numId="2" w16cid:durableId="18442802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11"/>
    <w:rsid w:val="0017040C"/>
    <w:rsid w:val="00187486"/>
    <w:rsid w:val="001A396E"/>
    <w:rsid w:val="001F576E"/>
    <w:rsid w:val="002F17BE"/>
    <w:rsid w:val="005950B4"/>
    <w:rsid w:val="00617FDA"/>
    <w:rsid w:val="006273FE"/>
    <w:rsid w:val="00987267"/>
    <w:rsid w:val="00A60E66"/>
    <w:rsid w:val="00C63E11"/>
    <w:rsid w:val="00C76C19"/>
    <w:rsid w:val="00FE2E0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E885"/>
  <w15:chartTrackingRefBased/>
  <w15:docId w15:val="{B7E09E21-4E4D-074C-A9F5-282F86141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E11"/>
    <w:pPr>
      <w:spacing w:after="0" w:line="240" w:lineRule="auto"/>
    </w:pPr>
    <w:rPr>
      <w:rFonts w:ascii="Arial" w:eastAsia="Arial" w:hAnsi="Arial" w:cs="Arial"/>
      <w:kern w:val="0"/>
      <w:sz w:val="20"/>
      <w:szCs w:val="20"/>
      <w:lang w:eastAsia="ru-RU"/>
      <w14:ligatures w14:val="none"/>
    </w:rPr>
  </w:style>
  <w:style w:type="paragraph" w:styleId="1">
    <w:name w:val="heading 1"/>
    <w:basedOn w:val="a"/>
    <w:next w:val="a"/>
    <w:link w:val="10"/>
    <w:uiPriority w:val="9"/>
    <w:qFormat/>
    <w:rsid w:val="00C63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63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63E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63E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63E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3E1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63E1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3E1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63E1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PORT">
    <w:name w:val="REPORT"/>
    <w:basedOn w:val="a"/>
    <w:qFormat/>
    <w:rsid w:val="00FE2E03"/>
    <w:pPr>
      <w:spacing w:before="100" w:beforeAutospacing="1" w:after="100" w:afterAutospacing="1"/>
    </w:pPr>
    <w:rPr>
      <w:rFonts w:ascii="Times New Roman" w:eastAsia="Times New Roman" w:hAnsi="Times New Roman" w:cs="Times New Roman"/>
      <w:b/>
      <w:bCs/>
    </w:rPr>
  </w:style>
  <w:style w:type="character" w:customStyle="1" w:styleId="10">
    <w:name w:val="Заголовок 1 Знак"/>
    <w:basedOn w:val="a0"/>
    <w:link w:val="1"/>
    <w:uiPriority w:val="9"/>
    <w:rsid w:val="00C63E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63E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63E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63E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63E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63E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63E11"/>
    <w:rPr>
      <w:rFonts w:eastAsiaTheme="majorEastAsia" w:cstheme="majorBidi"/>
      <w:color w:val="595959" w:themeColor="text1" w:themeTint="A6"/>
    </w:rPr>
  </w:style>
  <w:style w:type="character" w:customStyle="1" w:styleId="80">
    <w:name w:val="Заголовок 8 Знак"/>
    <w:basedOn w:val="a0"/>
    <w:link w:val="8"/>
    <w:uiPriority w:val="9"/>
    <w:semiHidden/>
    <w:rsid w:val="00C63E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63E11"/>
    <w:rPr>
      <w:rFonts w:eastAsiaTheme="majorEastAsia" w:cstheme="majorBidi"/>
      <w:color w:val="272727" w:themeColor="text1" w:themeTint="D8"/>
    </w:rPr>
  </w:style>
  <w:style w:type="paragraph" w:styleId="a3">
    <w:name w:val="Title"/>
    <w:basedOn w:val="a"/>
    <w:next w:val="a"/>
    <w:link w:val="a4"/>
    <w:uiPriority w:val="10"/>
    <w:qFormat/>
    <w:rsid w:val="00C63E1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63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E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63E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63E11"/>
    <w:pPr>
      <w:spacing w:before="160"/>
      <w:jc w:val="center"/>
    </w:pPr>
    <w:rPr>
      <w:i/>
      <w:iCs/>
      <w:color w:val="404040" w:themeColor="text1" w:themeTint="BF"/>
    </w:rPr>
  </w:style>
  <w:style w:type="character" w:customStyle="1" w:styleId="22">
    <w:name w:val="Цитата 2 Знак"/>
    <w:basedOn w:val="a0"/>
    <w:link w:val="21"/>
    <w:uiPriority w:val="29"/>
    <w:rsid w:val="00C63E11"/>
    <w:rPr>
      <w:i/>
      <w:iCs/>
      <w:color w:val="404040" w:themeColor="text1" w:themeTint="BF"/>
    </w:rPr>
  </w:style>
  <w:style w:type="paragraph" w:styleId="a7">
    <w:name w:val="List Paragraph"/>
    <w:basedOn w:val="a"/>
    <w:qFormat/>
    <w:rsid w:val="00C63E11"/>
    <w:pPr>
      <w:ind w:left="720"/>
      <w:contextualSpacing/>
    </w:pPr>
  </w:style>
  <w:style w:type="character" w:styleId="a8">
    <w:name w:val="Intense Emphasis"/>
    <w:basedOn w:val="a0"/>
    <w:uiPriority w:val="21"/>
    <w:qFormat/>
    <w:rsid w:val="00C63E11"/>
    <w:rPr>
      <w:i/>
      <w:iCs/>
      <w:color w:val="0F4761" w:themeColor="accent1" w:themeShade="BF"/>
    </w:rPr>
  </w:style>
  <w:style w:type="paragraph" w:styleId="a9">
    <w:name w:val="Intense Quote"/>
    <w:basedOn w:val="a"/>
    <w:next w:val="a"/>
    <w:link w:val="aa"/>
    <w:uiPriority w:val="30"/>
    <w:qFormat/>
    <w:rsid w:val="00C63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63E11"/>
    <w:rPr>
      <w:i/>
      <w:iCs/>
      <w:color w:val="0F4761" w:themeColor="accent1" w:themeShade="BF"/>
    </w:rPr>
  </w:style>
  <w:style w:type="character" w:styleId="ab">
    <w:name w:val="Intense Reference"/>
    <w:basedOn w:val="a0"/>
    <w:uiPriority w:val="32"/>
    <w:qFormat/>
    <w:rsid w:val="00C63E11"/>
    <w:rPr>
      <w:b/>
      <w:bCs/>
      <w:smallCaps/>
      <w:color w:val="0F4761" w:themeColor="accent1" w:themeShade="BF"/>
      <w:spacing w:val="5"/>
    </w:rPr>
  </w:style>
  <w:style w:type="character" w:styleId="ac">
    <w:name w:val="Hyperlink"/>
    <w:basedOn w:val="a0"/>
    <w:uiPriority w:val="99"/>
    <w:unhideWhenUsed/>
    <w:rsid w:val="0017040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fppp181956@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Doniyol Abdulazizov</dc:creator>
  <cp:keywords/>
  <dc:description/>
  <cp:lastModifiedBy>Abdulaziz Abdurakhmanov</cp:lastModifiedBy>
  <cp:revision>3</cp:revision>
  <dcterms:created xsi:type="dcterms:W3CDTF">2026-04-15T07:03:00Z</dcterms:created>
  <dcterms:modified xsi:type="dcterms:W3CDTF">2026-04-15T07:24:00Z</dcterms:modified>
  <cp:category/>
</cp:coreProperties>
</file>