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9F9B9" w14:textId="77777777" w:rsidR="00805764" w:rsidRPr="00EB7F38" w:rsidRDefault="00805764" w:rsidP="00235102">
      <w:pPr>
        <w:pStyle w:val="ad"/>
        <w:rPr>
          <w:rFonts w:eastAsia="Times New Roman"/>
          <w:color w:val="auto"/>
          <w:lang w:val="uz-Cyrl-UZ" w:eastAsia="ru-RU"/>
        </w:rPr>
      </w:pPr>
    </w:p>
    <w:p w14:paraId="72C8835B" w14:textId="7D5F513D" w:rsidR="00150274" w:rsidRPr="00EB7F38" w:rsidRDefault="00F96B65" w:rsidP="00A44505">
      <w:pPr>
        <w:spacing w:after="0" w:line="269" w:lineRule="auto"/>
        <w:jc w:val="center"/>
        <w:outlineLvl w:val="0"/>
        <w:rPr>
          <w:rFonts w:eastAsia="Times New Roman" w:cstheme="minorHAnsi"/>
          <w:b/>
          <w:bCs/>
          <w:kern w:val="36"/>
          <w:sz w:val="30"/>
          <w:szCs w:val="30"/>
          <w:lang w:val="uz-Cyrl-UZ" w:eastAsia="ru-RU"/>
        </w:rPr>
      </w:pPr>
      <w:r>
        <w:rPr>
          <w:rFonts w:eastAsia="Times New Roman" w:cstheme="minorHAnsi"/>
          <w:b/>
          <w:bCs/>
          <w:kern w:val="36"/>
          <w:sz w:val="30"/>
          <w:szCs w:val="30"/>
          <w:lang w:val="uz-Cyrl-UZ" w:eastAsia="ru-RU"/>
        </w:rPr>
        <w:t>Suv xo‘jaligi vaziri Sh.R.Xamrayevning vazirlik huzuridagi Jamoatchilik kengashi a’zolari, sohaviy va hududiy fuqarolik jamiyati institutlari vakillari, ommaviy axborot vositalari xodimlari bilan ochiq muloqot hamda matbuot anjumanidagi nutqi</w:t>
      </w:r>
    </w:p>
    <w:p w14:paraId="0C46972C" w14:textId="77777777" w:rsidR="006D2DA2" w:rsidRPr="00EB7F38" w:rsidRDefault="006D2DA2" w:rsidP="00A44505">
      <w:pPr>
        <w:spacing w:after="0" w:line="269" w:lineRule="auto"/>
        <w:jc w:val="both"/>
        <w:rPr>
          <w:rFonts w:eastAsia="Times New Roman" w:cstheme="minorHAnsi"/>
          <w:sz w:val="30"/>
          <w:szCs w:val="30"/>
          <w:lang w:val="uz-Cyrl-UZ" w:eastAsia="ru-RU"/>
        </w:rPr>
      </w:pPr>
    </w:p>
    <w:p w14:paraId="12F4AF38"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 xml:space="preserve">Assalomu alaykum, hurmatli ochiq muloqotimiz! </w:t>
      </w:r>
    </w:p>
    <w:p w14:paraId="2A65196A"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 xml:space="preserve">Suv – ulug‘ ne’mat. Hayot manbai. </w:t>
      </w:r>
    </w:p>
    <w:p w14:paraId="47740C9D"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 xml:space="preserve">Global iqlim o‘zgarishlari, haroratning isishi va boshqa omillar ta’sirida, afsuski, so‘nggi yillarda mintaqamizda suv resurslarining kamayishi kuzatilayapti. </w:t>
      </w:r>
    </w:p>
    <w:p w14:paraId="5830BEA1"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Hurmatli Prezidentimiz Shavkat Miromonovich Mirziyoyev Oliy Majlis va xalqimizga Murojaatnomasida dunyoda suv tanqisligi muammosi tobora dolzarb bo‘lib borayotganini, shu bois islohotlarning ilk kunlaridanoq suvdan oqilona foydalanish davlat siyosati darajasiga olib chiqilganini ta’kidladi.</w:t>
      </w:r>
    </w:p>
    <w:p w14:paraId="1D248855"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 xml:space="preserve">Davlatimiz rahbarining ezgu tashabbuslari bilan ko‘rilayotgan chora-tadbirlar, qabul qilingan Farmon va qarorlar ijrosini ta’minlash natijasida mamlakatimizda suv tanqisligi oqibatlarini kamaytirishga, xalqimizni belgilangan muddatlarda va miqdorlarda suv resurslari bilan ta’minlashga erishilmoqda. </w:t>
      </w:r>
    </w:p>
    <w:p w14:paraId="0FB80293"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Sohada eng muhim yo‘nalishlar bo‘yicha amalga oshirilayotgan ishlar haqida qisqacha to‘xtalib o‘tsam.</w:t>
      </w:r>
    </w:p>
    <w:p w14:paraId="7C9048BF"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 xml:space="preserve">Suv xo‘jaligida amalga oshirilayotgan qurilish va rekonstruksiya ishlari mamlakat iqtisodiyotini rivojlantirishda muhim o‘rin tutadi. Ayniqsa, kanallarni betonlash orqali suv yo‘qotilishining oldi olinadi, suv resurslaridan samarali foydalanish imkoniyati kengayadi va qishloq xo‘jalik ekinlarini barqaror suv bilan ta’minlashga erishiladi. </w:t>
      </w:r>
    </w:p>
    <w:p w14:paraId="4E601F9E" w14:textId="422C998B"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 xml:space="preserve">2025-yilda 258 ta (217 ta irrigatsiya, 41 ta melioratsiya) obyektida 1 663 mlrd. so‘m mablag‘lar o‘zlashtirilib, 723 km kanallar betonlashtirildi, 158 km sug‘orish (lotok va quvur) tarmoqlari, 303 km kollektor-drenaj tarmoqlarini qurish va rekonstruksiya qilish ishlari bajarildi. 20 ming km. dan ortiq ichki sug‘orish tarmoqlari betonlashtirildi. </w:t>
      </w:r>
    </w:p>
    <w:p w14:paraId="6BB70E4D"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 xml:space="preserve">Natijada 364 ming gektar yerlarning suv ta’minoti yaxshilandi, 500 mln. kub metrdan ortiq suv yo‘qotishlarining oldi olindi, 100 ming gektardan ortiq yerlarning meliorativ holati yaxshilandi, sho‘rlangan maydonlar 24 ming gektarga qisqarishiga erishildi.  </w:t>
      </w:r>
    </w:p>
    <w:p w14:paraId="5D04B3B5"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lastRenderedPageBreak/>
        <w:t>Shuningdek, “Kambag‘allikdan farovonlik sari” dasturi doirasida o‘tgan yili 886 ta loyiha bo‘yicha 1,2 trln. so‘m mablag‘ o‘zlashtirilib, 1 872  km kanallar, 200  km ga yaqin lotok tarmoqlari, 725 ta sug‘orish quduqlari hamda boshqa bir qator irrigatsiya obyektlarini qurish va rekonstruksiya qilish ishlari bajarildi. Natijada 494 ming 296 ta xonadonning 88 ming gektar tomorqa  maydonlarida suv ta’minoti yaxshilandi.</w:t>
      </w:r>
    </w:p>
    <w:p w14:paraId="7511FD6A" w14:textId="00427EFC"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2026-yilda 293 ta (250 ta irrigatsiya, 43 ta melioratsiya) loyiha doirasida qurilish, rekonstruksiya qilish ishlarini amalga oshirish uchun davlat budjetidan jami 1 981 mlrd. so‘m mablag‘ ajratilgan.</w:t>
      </w:r>
    </w:p>
    <w:p w14:paraId="7339409E"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Shundan, bugungi kunga qadar 1 040 mlrd. so‘m mablag‘lar o‘zlashtirilib, 586 km kanallarni betonlashtirish, 13,3  km lotok va 21,4 km yopiq sug‘orish quvurlari hamda 170 km uzunlikdagi kollektor drenaj tarmoqlarini qurish va rekonstruksiya qilish ishlari amalga oshirildi.</w:t>
      </w:r>
    </w:p>
    <w:p w14:paraId="3B94C8AB"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Ushbu irrigatsiya va melioratsiya tadbirlari natijasida 700 mln. kub metrdan ortiq suv yo‘qotishlarining oldini olish, 460 ming gektardan ortiq yer maydonlarining suv ta’minotini, 110 ming gektarga yaqin yerlarning meliorativ holatini yaxshilash, sho‘rlangan maydonlarni 25 ming gektarga qisqartirishga erishish ko‘zda tutilgan.</w:t>
      </w:r>
    </w:p>
    <w:p w14:paraId="1BADB917" w14:textId="48B2108F"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 xml:space="preserve">2025-yil yakuni bo‘yicha respublikamizda suv tejovchi texnologiyalar joriy qilingan maydonlarning umumiy ko‘rsatkichi 2,6 mln. gektarga yoki sug‘oriladigan maydonlarga nisbatan 61 foizga yetkazildi. Shundan tomchilab sug‘orish texnologiyasi qamrovi 664,3 ming gektarni tashkil etdi. Aynan suv tejovchi texnologiyalar hisobidan 3 mlrd. kub metr suv tejaldi. </w:t>
      </w:r>
    </w:p>
    <w:p w14:paraId="67287674" w14:textId="28AA13AB"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 xml:space="preserve">2026-yilda mamlakatimizda jami 500 ming gektardan ortiq maydonda suvni tejaydigan sug‘orish texnologiyalari, jumladan, 110 ming gektar maydonda tomchilatib, 34 ming gektarda yomg‘irlatib sug‘orish texnologiyasini joriy etish rejalashtirilgan. </w:t>
      </w:r>
    </w:p>
    <w:p w14:paraId="1F6D5110"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 xml:space="preserve">Yil boshidan buyon 550 ming gektar maydonlarda suvni tejovchi zamonaviy sug‘orish texnologiyalari, shundan 126,2 ming gektarda tomchilatib sug‘orish, 25,8 ming gektarda yomg‘irlatib va 100 ming gektarda boshqa turdagi sug‘orish texnologiyalari joriy etildi. </w:t>
      </w:r>
    </w:p>
    <w:p w14:paraId="4CC0CB90" w14:textId="5733403D"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 xml:space="preserve">Bu boradagi ishlarni izchil davom ettirgan holda, 2026-yil yakuni bilan republikada suvni tejaydigan innovatsion texnologiyalar qamrovini 3,1 mln. gektarga, shundan tomchilatib sug‘orish texnologiyasi tatbiq etilgan yer maydonlarini 771,3 ming gektarga yetkazish rejalashtirilgan. Buning natijasida </w:t>
      </w:r>
      <w:r>
        <w:rPr>
          <w:rFonts w:eastAsia="Times New Roman" w:cstheme="minorHAnsi"/>
          <w:sz w:val="30"/>
          <w:szCs w:val="30"/>
          <w:lang w:val="uz-Cyrl-UZ" w:eastAsia="ru-RU"/>
        </w:rPr>
        <w:lastRenderedPageBreak/>
        <w:t>suv tejovchi texnologiyalar hisobidan 5 mlrd. kub metr suv tejalishiga erishilishi ko‘zda tutilgan.</w:t>
      </w:r>
    </w:p>
    <w:p w14:paraId="21E1DA70"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Vazirlik tizimida 1 698 ta nasos stansiyasi va 8 256 ta tik quduq bo‘lib, respublikamizdagi sug‘oriladigan yer maydonlarining 55 foizdan ziyodini suv bilan ta’minlaydi.</w:t>
      </w:r>
    </w:p>
    <w:p w14:paraId="076042E7" w14:textId="06AA9E32"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2018-yilda sohada 8,3 mlrd. kVt/soat elektr energiyasi sarflangan bo‘lsa, 2025-yil yakuni bilan bu ko‘rsatkich 6,4 mlrd. kVt/soatgacha tushirildi. Yetti yil ichida iste’molning 1,9 mlrd. kVt/soatga kamaytirilishi tizimni modernizatsiya qilish samarasi hisoblanadi. Buning uchun har yili nasos stansiyalaridagi eskirgan nasos va elektrodvigatellarni yangilash hamda nasos stansiyalarga energiya tejamkor qurilmalar va qayta tiklanuvchi energiya manbalari o‘rnatilib kelinmoqda.</w:t>
      </w:r>
    </w:p>
    <w:p w14:paraId="3214422E" w14:textId="039434D1"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Misol uchun, 2025-yilda nasos stansiyalarda ma’nan va jismonan eskirgan 157 ta nasos va 166 ta elektrodvigatellar yangisiga almashtirildi. Yil davomida 6 392,9 mln. kVt soat elektr enegiyasi sarflanib, belgilangan limitga nisbatan 447 mln. kVt soat elektr energiyasi tejalishiga erishildi.</w:t>
      </w:r>
    </w:p>
    <w:p w14:paraId="2ABE6189"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Joriy yilda 156 ta nasos va 149 ta elektrodvigatellarni yangilash rejalashtirilgan bo‘lib, bugungi kunga qadar 142 ta nasos va 147 ta elektrodvigatellar xarid qilindi va o‘rnatilmoqda, 15 ta nasos stansiyasiga 14 ming kVt quyosh panellari o‘rnatildi.</w:t>
      </w:r>
    </w:p>
    <w:p w14:paraId="403A4D11"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Yil boshidan buyon 2 338,6 mln. kVt soat elektr energiyasi sarflanib, limitga nisbatan 125,5 mln. kVt soat elektr energiyasi tejaldi.</w:t>
      </w:r>
    </w:p>
    <w:p w14:paraId="2F89908F"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Birgina misol, Qoraqalpog‘iston Respublikasidagi soatiga 110 kilovatlik 304 ta SNP-500 nasos agregatlari shu suv sarfini chiqarib berish imkoniga ega bo‘lgan 55 kilovatlik K turdagi zamonaviy energotejamkor nasoslarga almashtirilishi natijasida o‘tgan yilning mos davriga nisbatan 7,5 mln kVt/soat elektr energiyasi tejalishiga erishildi.</w:t>
      </w:r>
    </w:p>
    <w:p w14:paraId="35F1D32A" w14:textId="08FD8191"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Joriy yilning 18-iyun holatiga respublikamizdagi suv omborlarida jami 14 484 mln. m</w:t>
      </w:r>
      <w:r w:rsidRPr="00F96B65">
        <w:rPr>
          <w:rFonts w:eastAsia="Times New Roman" w:cstheme="minorHAnsi"/>
          <w:sz w:val="30"/>
          <w:szCs w:val="30"/>
          <w:vertAlign w:val="superscript"/>
          <w:lang w:val="uz-Cyrl-UZ" w:eastAsia="ru-RU"/>
        </w:rPr>
        <w:t>3</w:t>
      </w:r>
      <w:r>
        <w:rPr>
          <w:rFonts w:eastAsia="Times New Roman" w:cstheme="minorHAnsi"/>
          <w:sz w:val="30"/>
          <w:szCs w:val="30"/>
          <w:lang w:val="uz-Cyrl-UZ" w:eastAsia="ru-RU"/>
        </w:rPr>
        <w:t xml:space="preserve"> suv yig‘ilgan bo‘lib, bu o‘tgan yilning shu davriga nisbatan 5 foizga ko‘p, demakdir. </w:t>
      </w:r>
    </w:p>
    <w:p w14:paraId="1817990B"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Bugungi kunda hududlardagi talabdan kelib chiqib, manbalardan jami 2 251 m</w:t>
      </w:r>
      <w:r w:rsidRPr="00F96B65">
        <w:rPr>
          <w:rFonts w:eastAsia="Times New Roman" w:cstheme="minorHAnsi"/>
          <w:sz w:val="30"/>
          <w:szCs w:val="30"/>
          <w:vertAlign w:val="superscript"/>
          <w:lang w:val="uz-Cyrl-UZ" w:eastAsia="ru-RU"/>
        </w:rPr>
        <w:t>3</w:t>
      </w:r>
      <w:r>
        <w:rPr>
          <w:rFonts w:eastAsia="Times New Roman" w:cstheme="minorHAnsi"/>
          <w:sz w:val="30"/>
          <w:szCs w:val="30"/>
          <w:lang w:val="uz-Cyrl-UZ" w:eastAsia="ru-RU"/>
        </w:rPr>
        <w:t xml:space="preserve">/sek suv yetkazib berilmoqda. </w:t>
      </w:r>
    </w:p>
    <w:p w14:paraId="72A7120D"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 xml:space="preserve">Transchegaraviy suv resurslaridan foydalanish bo‘yicha davlatlararo hamkorlikni rivojlantirish, suv resurslarini birgalikda boshqarishning o‘zaro maqbul mexanizmlarini ishlab chiqish hamda suvdan samarali foydalanish masalalari doimiy e’tiborda. </w:t>
      </w:r>
    </w:p>
    <w:p w14:paraId="2A3C5B65" w14:textId="228554B1"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lastRenderedPageBreak/>
        <w:t xml:space="preserve">Davlatlararo suv xo‘jaligini muvofiqlashtirish komissiyaning yig‘ilishida 2026-yil vegetatsiya davri uchun suv olish limitlari tasdiqlangan. Qirg‘iziston, Qozog‘iston va O‘zbekiston tomonidan “To‘xtagul” suv ombori va “Uchqo‘rg‘on” GESining 2026-yil may-iyun oylaridagi ekspluatatsiya rejimi hamda suv-energetika resurslaridan foydalanish tartibi uch tomonlama kelishib olindi. </w:t>
      </w:r>
    </w:p>
    <w:p w14:paraId="381B3F87"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 xml:space="preserve">O‘zbekiston, Tojikiston va Qozog‘iston tomonidan esa 2026 yilda “Baxri Tojik” suv omboridan qo‘shimcha suv chiqarish bo‘yicha kelishuvga erishildi. </w:t>
      </w:r>
    </w:p>
    <w:p w14:paraId="2F24F25B" w14:textId="02BB3423"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 xml:space="preserve">2024-yilda 155 ta tuman irrigatsiya bo‘limi va 161 ta suv xo‘jaligi maxsus xizmati negizida yangi tizim – 160 ta tuman “Suv yetkazib berish xizmati” davlat muassasalari tashkil etildi. </w:t>
      </w:r>
    </w:p>
    <w:p w14:paraId="6388D78F" w14:textId="3F67183F"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2025-yil 1-yanvardan boshlab suv resurslaridan foydalanganlik uchun soliq tushumlarining 40 foizini tuman (shahar) budjetlaridan tuman “Suv yetkazib berish xizmati” davlat muassasalarining shaxsiy g‘azna hisobvaraqlariga avtomat tarzda yo‘naltirish mexanizmi joriy etildi. Natijada 2025-yilda 352,4 mlrd. so‘m hamda 2026-yil boshidan buyon 138,8 mlrd. so‘m mablag‘ kelib tushdi.</w:t>
      </w:r>
    </w:p>
    <w:p w14:paraId="37430D03"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 xml:space="preserve">Ushbu mablag‘lar hisobidan sug‘orish tarmoqlarini betonlashtirish va maxsus texnikalarni xarid qilishga 89,2 mlrd. so‘m yo‘naltirildi, jumladan 70 ta maxsus texnika xarid qilindi. Bundan tashqari, davlat muassasalarining texnik bazasini mustahkamlash maqsadida respublika budjeti mablag‘lari hisobidan 144 ta maxsus texnika va 21 ta yuk tashuvchi mototsikl, shu bilan birga suv solig‘i tushumlari hisobidan 834 dona skuter olindi. </w:t>
      </w:r>
    </w:p>
    <w:p w14:paraId="5A3F76AB"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Suv resurslarining hisobi va hisobotini yuritishda shaffoflikni ta’minlash maqsadida “Suv hisobi” axborot tizimi ishga tushirildi. Bu tizim suvdan foydalanuvchilarga, shu jumladan, fermer xo‘jaliklariga bir qator qulayliklar berdi. Xususan, suv olish limitlari, shartnoma va dalolatnomalar faqat elektron shaklda tuzilayotgani bois, fermerlarning vaqti tejalmoqda va ortiqcha qog‘ozbozlikka chek qo‘yildi.</w:t>
      </w:r>
    </w:p>
    <w:p w14:paraId="2DE7A85F"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DM xodimlari endi faqat suv yetkazib beruvchi yoki nazoratchi emas, balki fermerlarga suv tejovchi texnologiyalarni o‘rnatishda, sug‘orish tarmoqlarini betonlashtirishda va sug‘orish ishlarini samarali tashkil etishda amaliy yordam beruvchi tuzilmaga aylandi.</w:t>
      </w:r>
    </w:p>
    <w:p w14:paraId="1E9F7B1A"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 xml:space="preserve">Xorijiy investitsiyalar hisobidan amalga oshirilayotgan 5 ta loyihalar doirasida o‘tgan 2025 yilda 121,5 mln. AQSH dollari miqdoridagi xorijiy kreditlar va grant mablag‘lari o‘zlashtirilishi natijasida 387 dona nasos </w:t>
      </w:r>
      <w:r>
        <w:rPr>
          <w:rFonts w:eastAsia="Times New Roman" w:cstheme="minorHAnsi"/>
          <w:sz w:val="30"/>
          <w:szCs w:val="30"/>
          <w:lang w:val="uz-Cyrl-UZ" w:eastAsia="ru-RU"/>
        </w:rPr>
        <w:lastRenderedPageBreak/>
        <w:t>agregatlar, 132 dona elektrodvigatel va boshqa jihozlar olib kelinib, 1,6 mln. yevrolik loyiha va qurilish ishlari bajarildi. 32 km kanallar betonlashtirildi.</w:t>
      </w:r>
    </w:p>
    <w:p w14:paraId="02BE31F4" w14:textId="0DE48B60"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2026-yil boshidan buyon 26,5 mln. dollarlik xorijiy investitsiyalar o‘zlashtirildi. Buning natijasida 12 km kanallar betonlashtirildi, 22 ta nasos stansiyalarida qurilish ishlari bajarildi.</w:t>
      </w:r>
    </w:p>
    <w:p w14:paraId="54F1E139" w14:textId="7BC3207E"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 xml:space="preserve">Xabaringiz bor, joriy yilning 16–18-iyun kunlari beshinchi Toshkent xalqaro investitsiya forumi bo‘lib o‘tdi. Forum yakunlari bo‘yicha suv xo‘jaligi sohasida Islom taraqqiyot banki (200 mln. doll.), Fransiya taraqqiyot agentligi (150 mln. doll.), Yevroosiyo barqarorlashtirish va taraqqiyot jamg‘armasi, Yevroosiyo taraqqiyot banki (90 mln. doll.), Xitoy Tijorat vazirligi (40 mln. doll.), Germaniyaning Leman kompaniyasi (940 mln. doll.), Saudiya Arabistonining MIAHONA kompaniyasi (100 mln. doll.) bilan jami 1,52 mlrd. dollar miqdoridagi investitsiyalarni jalb etish bo‘yicha kelishuvlar va memorandumlar imzolandi. </w:t>
      </w:r>
    </w:p>
    <w:p w14:paraId="2E55E29F"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Bozor munosabatlari, daryo-soylarning muhofaza zonalari bo‘yicha:</w:t>
      </w:r>
    </w:p>
    <w:p w14:paraId="6868AFCD" w14:textId="0901043E"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O‘zbekiston Respublikasi Prezidentining 2026-yil 26-maydagi “Suv xo‘jaligi sohasida bozor mexanizmlarini keng joriy qilish chora-tadbirlari to‘g‘risida”gi PF-99-sonli Farmoniga asosan Suv xo‘jaligi vazirligi tizim tashkilotlari hisobidagi suv fondi yerlaridan oqilona foydalanishning asosiy maqsadli ko‘rsatkichlari belgilandi.</w:t>
      </w:r>
    </w:p>
    <w:p w14:paraId="4A1530BC"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 xml:space="preserve">Suv fondi yerlarini ijaraga berishda yagona buyurtmachilik Suv xo‘jaligi vazirligi huzuridagi “Suv xo‘jaligida bozor mexanizmlarini joriy qilish” davlat muassasasiga yuklatildi. </w:t>
      </w:r>
    </w:p>
    <w:p w14:paraId="2CC52759" w14:textId="0604FE94"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Bugungi kunga qadar 883,8 ming gektar yer maydoni davlat ro‘yxatidan o‘tkazilgan. 2026-yilning yakuniga qadar 268 ming gektar suv fondi yerlarini to‘liq xatlovdan o‘tkazish belgilangan.</w:t>
      </w:r>
    </w:p>
    <w:p w14:paraId="0EE823DB" w14:textId="76B8AAB8"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Davlat muassasasi tomonidan 2026–2027-yillarda suv xo‘jaligi tashkilotlari hisobidagi 30 ming gektar suv fondi yerlari shaffof va bozor tamoyillariga asoslangan holda ijaraga beriladi.</w:t>
      </w:r>
    </w:p>
    <w:p w14:paraId="6C17A429"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Respublikamizda 6300 ta baliqchilik xo‘jaliklari tomonidan 600 ming gektar maydonda (6125 ta 63 ming gektar sun’iy suv havzalarida, 175 ta 537 ming gektar tabiiy suv havzalarida) baliq mahsulotlari yetishtirib kelinmoqda hamda ular tomonidan bir yilda o‘rtacha 650 mln. kub metr suv resurslaridan foydalanilmoqda.</w:t>
      </w:r>
    </w:p>
    <w:p w14:paraId="5961A62C"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lastRenderedPageBreak/>
        <w:t>Amalda baliqchilik tarmog‘ida yagona institutsional boshqaruv va sohani barcha yo‘nalishlarini qamrab olgan raqamlashtirish tizimi mavjud emas edi.</w:t>
      </w:r>
    </w:p>
    <w:p w14:paraId="76A7365A" w14:textId="5FE70D12"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 xml:space="preserve">Davlatimiz rahbari tomonidan 2026–2030-yillarda har yili kamida 5 ming gektar sun’iy suv havzalarini intensiv usulda baliq yetishtirishga o‘tkazish, tog‘ oldi hududlarida sovuq suv baliqchiligi (forel va osyotr)ni rivojlantirish hamda yiliga 20 ming tonna baliq yetishtirish quvvatlarini tashkil etish bo‘yicha topshiriqlar berildi. </w:t>
      </w:r>
    </w:p>
    <w:p w14:paraId="0C0D033D" w14:textId="56FAD8D3"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Suv xo‘jaligi sohasida keskin o‘zgarish qilishning birdan-bir yo‘li raqamlashtirishdir. 2025-yilda Suv xo‘jaligini raqamlashtirish va monitoring markazi tashkil etildi hamda sohadagi ma’lumotlarni yagona markazda jamlash imkonini beruvchi zamonaviy Vaziyatlar markazi faoliyati yo‘lga qo‘yildi.</w:t>
      </w:r>
    </w:p>
    <w:p w14:paraId="29298287"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Sohada 10 ta zamonaviy axborot tizimi joriy qilinib, ular tegishli vazirlik va idoralarning axborot tizimlari bilan integratsiya qilinmoqda. Xususan, “Davlat suv kadastri” va “Melioratsiya” axborot tizimlarida yo‘lga qo‘yilgan sun’iy intellekt dasturlari ushbu tizimlardagi ma’lumotlardan kelib chiqib tahlil qilish, bashorat qilish hamda tavsiyalar berish imkoniyatini yaratdi. Bu esa inson omilini kamaytirish, qog‘ozbozlikni qisqartirish, ma’lumotlar almashinuvini tezlashtirish hamda boshqaruv qarorlarini qabul qilish samaradorligini oshirishga xizmat qilmoqda.</w:t>
      </w:r>
    </w:p>
    <w:p w14:paraId="425FD2E3"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Tizimdan foydalanish samaradorligini oshirish maqsadida Sirdaryo viloyatida pilot loyiha amalga oshirildi. Uning doirasida suv xo‘jaligi tashkilotlari uchun 300 dona planshet xarid qilinib, “Suv hisobi” axborot tizimiga moslashtirildi hamda mutaxassislar uchun amaliy o‘quv mashg‘ulotlari tashkil etildi.</w:t>
      </w:r>
    </w:p>
    <w:p w14:paraId="698A71F7"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Shu bilan birga, suv omborlarida suv sathi va hajmini masofadan turib kuzatish imkonini beruvchi 44 ta datchik o‘rnatilgan. Ushbu qurilmalar orqali suv resurslari holatini tezkor baholash va samarali boshqarish imkoniyati yaratildi.</w:t>
      </w:r>
    </w:p>
    <w:p w14:paraId="2A9659BA"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Respublika chegarasi orqali olinayotgan suv sarfini real vaqt rejimida aniqlash uchun 272 ta qurilma o‘rnatish rejalashtirilgan bo‘lib, hozirgi kunda loyiha hujjatlari ishlab chiqilib, dasturiy-apparat majmualarini xarid qilish va o‘rnatish bo‘yicha tender savdolari e’lon qilingan.</w:t>
      </w:r>
    </w:p>
    <w:p w14:paraId="3BE9D33B"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lastRenderedPageBreak/>
        <w:t>Tumanlararo suv resurslarini onlayn boshqarish va monitoring qilish maqsadida 1 895 ta nuqtaga qurilmalar o‘rnatish loyihasini ishlab chiqish bo‘yicha tanlov savdolariga e’lon berilgan.</w:t>
      </w:r>
    </w:p>
    <w:p w14:paraId="397A3166"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Suv xo‘jaligi obyektlarini raqamlashtirish doirasida 1 698 ta nasos stansiyasidagi 5 204 ta nasos agregatiga suv va elektr energiyasi hisoblagichlarini o‘rnatish bo‘yicha loyiha hujjatlarini ishlab chiqish ishlari olib borilmoqda. Buning natijasida suv va elektr energiyasi iste’molini avtomatik hisobga olish, monitoring qilish hamda resurslardan samarali foydalanish ta’minlanadi.</w:t>
      </w:r>
    </w:p>
    <w:p w14:paraId="38132170"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Shuningdek, sohadagi maxsus texnikalar harakatini nazorat qilish va ulardan samarali foydalanishni ta’minlash maqsadida 400 dona GPS qurilmasi o‘rnatildi. Bu orqali maxsus texnikalarning harakatini onlayn kuzatish, yonilg‘i sarfi va ish samaradorligini nazorat qilish imkoniyati yaratildi.</w:t>
      </w:r>
    </w:p>
    <w:p w14:paraId="287FEFA4"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Kelgusida, “Moliya-avtoxo‘jalik-omborxona” ERP tizimini joriy etish, “Suv fondi ijarasi” axborot tizimini ishga tushirish ishlari rejalashtirilgan. Bu sohadagi moliyaviy, moddiy va boshqaruv jarayonlarining yanada shaffof va samarali bo‘lishini ta’minlaydi.</w:t>
      </w:r>
    </w:p>
    <w:p w14:paraId="348FACBD"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 xml:space="preserve">Suv xo‘jaligida korrupsiyaga o‘rin yo‘q. Bu illatni batamom yo‘q qilish uchun tizimli chora-tadbirlar amalga oshirilayapti. </w:t>
      </w:r>
    </w:p>
    <w:p w14:paraId="7B488C9D"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O‘zbekiston Respublikasining “Davlat xaridlari to‘g‘risida”gi Qonuni bo‘yicha 2 ta holatda 2,9 mlrd. so‘mlik shartnomalarda manfaatlar to‘qnashuvi, affillanganlik holatlariga yo‘l qo‘yilganligi aniqlanib, davlat xaridi bo‘yicha tasdiqlangan g‘olibni aniqlash bayonnomalari bekor qilindi.</w:t>
      </w:r>
    </w:p>
    <w:p w14:paraId="71A1F3F8"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Shuningdek, 671 ta holatda 121,8 mlrd. so‘mlik budjet mablag‘larining ortiqcha rejalashtirishlari aniqlanib, budjet mablag‘lari maqsadsiz sarflanishining oldi olindi.</w:t>
      </w:r>
    </w:p>
    <w:p w14:paraId="5567A073"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 xml:space="preserve">Shu bilan birga Ichki nazorat tuzilmalari tomonidan 46 ta monitoring va nazorat tadbirlari o‘tkazildi. 20 ta korrupsiyaviy omillar, 44,45 mlrd. so‘mlik moliyaviy xato va kamchiliklar aniqlandi va Davlat budjeti mablag‘larining maqsadsiz sarflanishining oldi olindi. </w:t>
      </w:r>
    </w:p>
    <w:p w14:paraId="1E20441A"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Suv xo‘jaligi vazirligi tizimida 34 mingdan ortiq mutaxassis mehnat qiladi. Oxirgi besh yilda 3 000 nafarga yaqin oliy ma’lumotli mutaxassislar tizim tashkilotlari tomonidan ishga qabul qilindi. Bu yil yana 500 nafardan ziyod yoshlarni ishga olish hisobiga tizimda oliy ma’lumotli xodimlar sonini umumiy hisobda 50 foizga yetkazishni rejalashtirganmiz.</w:t>
      </w:r>
    </w:p>
    <w:p w14:paraId="0D2C7DB6"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lastRenderedPageBreak/>
        <w:t>Hozirgi kunda tizimda 2 314 nafar xotin-qizlar faoliyat yuritib kelmoqda. Ulardan 76 nafari bo‘linma rahbarlari lavozimlarida ishlab kelmoqda.</w:t>
      </w:r>
    </w:p>
    <w:p w14:paraId="5B0CD06F"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 xml:space="preserve">Shu bilan birga kadrlar malakasini oshirish, o‘qitish ishlari doimiy e’tiborda.  </w:t>
      </w:r>
    </w:p>
    <w:p w14:paraId="5CC52339" w14:textId="3BB61E9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Irrigatsiya va suv muammolari ilmiy-tadqiqot instituti tomonidan 2025–2026-yillarda suv xo‘jaligi sohasida faoliyat yuritayotgan tashkilotlarning dolzarb muammolar yechimiga qaratilgan 65 ta  ilmiy-tadqiqot loyihalari, shundan Respublika davlat ilmiy-texnik dasturlari doirasida 5 ta ilmiy-tadqiqot loyihalar va 78 ta tajriba-konstruktorlik ishlari amalga oshirilmoqda. Xalqaro moliya institutlari hisobidan qiymati 308 ming AQSH dollariga teng bo‘lgan 2 ta grant loyihasi bajarilyapti.</w:t>
      </w:r>
    </w:p>
    <w:p w14:paraId="2FD62489"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Shuningdek, “Agrobank” ATB birgalikda suv xo‘jaligi sohasidagi ilmiy-tadqiqot va tajriba-konstruktorlik ishlarini qo‘llab-quvvatlash maqsadida institutda jami qiymati 4,5 mlrd. so‘m bo‘lgan 6 ta ilmiy tadqiqot ishlari amalga oshirilayapti.</w:t>
      </w:r>
    </w:p>
    <w:p w14:paraId="14FE30FB"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Suv xo‘jaligida zamonaviy va ilmiy yondashuvlar asosida loyiha yechimlarini belgilash, loyihalarning sifatini oshirib borish hamda strategik obyektlarni loyihalarini ishlab chiqish, ishlab chiqilgan loyihaoldi va loyiha hujjatlarini ko‘rib chiqish tizimini takomillashtirish maqsadida;</w:t>
      </w:r>
    </w:p>
    <w:p w14:paraId="6A8D16D7"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 “Suvloyiha” MCHJ va “O‘zGIP” MCHJ negizida “Suvloyiha loyiha ilmiy-tadqiqot instituti” MCHJ tashkil etish;</w:t>
      </w:r>
    </w:p>
    <w:p w14:paraId="682B2242"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 Suv xo‘jaligi vazirligi tasarrufidagi “O‘zsuvekspertiza” DUK negizida davlat muassasasi shaklida loyihaoldi va loyiha hujjatlarini ko‘rib chiqish vakolatiga ega “Suvinvestloyiha” loyiha ofisini tashkil etish ko‘zda tutilmoqda.</w:t>
      </w:r>
    </w:p>
    <w:p w14:paraId="1E8D6FD0"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 xml:space="preserve">Buning natijasida, suv xo‘jaligi obyektlarini loyihalashtirish hamda samaradorlik ko‘rsatkichlariga erishishning aniq yo‘nalishlarni belgilashda yangicha yondashuvlar joriy etiladi. </w:t>
      </w:r>
    </w:p>
    <w:p w14:paraId="55FC17AD" w14:textId="34CBEE44"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O‘zbekiston Respublikasi Prezidentining 2024-yil 26-avgustda qabul qilingan “Fuqarolik jamiyati institutlarini davlat tomonidan qo‘llab-quvvatlash tizimini yanada takomillashtirish chora-tadbirlari to‘g‘risida”gi PF-124-sonli Farmonida belgilangan vazifalardan kelib chiqib, fuqarolik jamiyati institutlari bilan o‘zaro manfaatli ijtimoiy sheriklikni rivojlantirish, ta’sirchan jamoatchilik nazoratini kuchaytirishga e’tibor qaratilayapti.</w:t>
      </w:r>
    </w:p>
    <w:p w14:paraId="3D51B138"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 xml:space="preserve">Bu yil 2 ta nodavlat notijorat tashkiloti davlat ijtimoiy buyurtmasini olishni so‘rab tashabbusli loyiha bilan vazirlikka murojaat qildi. Vazirlik huzuridagi Jamoatchilik kengashi bu murojaatlarni tegishli tartibda o‘rganib </w:t>
      </w:r>
      <w:r>
        <w:rPr>
          <w:rFonts w:eastAsia="Times New Roman" w:cstheme="minorHAnsi"/>
          <w:sz w:val="30"/>
          <w:szCs w:val="30"/>
          <w:lang w:val="uz-Cyrl-UZ" w:eastAsia="ru-RU"/>
        </w:rPr>
        <w:lastRenderedPageBreak/>
        <w:t>chiqib, “Yuksalish” harakatining “Yangi O‘zbekistonda suv xo‘jaligi transformatsiyasi” nomli taqdimot videoroligini tayyorlash bo‘yicha tashabbusli loyihasini ijobiy baholadi.</w:t>
      </w:r>
    </w:p>
    <w:p w14:paraId="3EEEA8CF"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Vazirlik huzuridagi Jamoatchilik kengashi fuqarolik jamiyati institutlari bilan vazirlik o‘rtasidagi hamkorlikni mustahkamlash yo‘lida faoliyat olib bormoqda.</w:t>
      </w:r>
    </w:p>
    <w:p w14:paraId="2DC40D92"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 xml:space="preserve">Bugun vazirlik huzuridagi Jamoatchilik kengashi a’zolarini, sohaviy va hududiy fuqarolik jamiyati institutlari vakillarini, ommaviy axborot vositalari xodimlarini ochiq muloqotga taklif etganmiz. </w:t>
      </w:r>
    </w:p>
    <w:p w14:paraId="7E56CBC0" w14:textId="77777777" w:rsidR="00F96B65" w:rsidRDefault="00F96B65" w:rsidP="00A44505">
      <w:pPr>
        <w:spacing w:after="0" w:line="269" w:lineRule="auto"/>
        <w:ind w:firstLine="708"/>
        <w:jc w:val="both"/>
        <w:rPr>
          <w:rFonts w:eastAsia="Times New Roman" w:cstheme="minorHAnsi"/>
          <w:sz w:val="30"/>
          <w:szCs w:val="30"/>
          <w:lang w:val="uz-Cyrl-UZ" w:eastAsia="ru-RU"/>
        </w:rPr>
      </w:pPr>
      <w:r>
        <w:rPr>
          <w:rFonts w:eastAsia="Times New Roman" w:cstheme="minorHAnsi"/>
          <w:sz w:val="30"/>
          <w:szCs w:val="30"/>
          <w:lang w:val="uz-Cyrl-UZ" w:eastAsia="ru-RU"/>
        </w:rPr>
        <w:t xml:space="preserve">Bugungi muloqot ham vazirligimizda yo‘lga qo‘yilgan ochiqlik siyosatining amaliy ko‘rinishidir. </w:t>
      </w:r>
    </w:p>
    <w:p w14:paraId="37C3DB91" w14:textId="62D38999" w:rsidR="00235102" w:rsidRPr="00EB7F38" w:rsidRDefault="00F96B65" w:rsidP="00A44505">
      <w:pPr>
        <w:spacing w:after="0" w:line="269" w:lineRule="auto"/>
        <w:ind w:firstLine="708"/>
        <w:jc w:val="both"/>
        <w:rPr>
          <w:rFonts w:cstheme="minorHAnsi"/>
          <w:sz w:val="30"/>
          <w:szCs w:val="30"/>
          <w:lang w:val="uz-Cyrl-UZ"/>
        </w:rPr>
      </w:pPr>
      <w:r>
        <w:rPr>
          <w:rFonts w:eastAsia="Times New Roman" w:cstheme="minorHAnsi"/>
          <w:sz w:val="30"/>
          <w:szCs w:val="30"/>
          <w:lang w:val="uz-Cyrl-UZ" w:eastAsia="ru-RU"/>
        </w:rPr>
        <w:t>E’tiboringiz uchun rahmat!</w:t>
      </w:r>
    </w:p>
    <w:sectPr w:rsidR="00235102" w:rsidRPr="00EB7F38" w:rsidSect="006D2DA2">
      <w:footerReference w:type="default" r:id="rId8"/>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E9751" w14:textId="77777777" w:rsidR="00FF69E9" w:rsidRDefault="00FF69E9" w:rsidP="006D2DA2">
      <w:pPr>
        <w:spacing w:after="0" w:line="240" w:lineRule="auto"/>
      </w:pPr>
      <w:r>
        <w:separator/>
      </w:r>
    </w:p>
  </w:endnote>
  <w:endnote w:type="continuationSeparator" w:id="0">
    <w:p w14:paraId="00B8BAB2" w14:textId="77777777" w:rsidR="00FF69E9" w:rsidRDefault="00FF69E9" w:rsidP="006D2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3176"/>
      <w:docPartObj>
        <w:docPartGallery w:val="Page Numbers (Bottom of Page)"/>
        <w:docPartUnique/>
      </w:docPartObj>
    </w:sdtPr>
    <w:sdtEndPr/>
    <w:sdtContent>
      <w:p w14:paraId="5C46A689" w14:textId="63A4C354" w:rsidR="006D2DA2" w:rsidRDefault="006D2DA2">
        <w:pPr>
          <w:pStyle w:val="a8"/>
          <w:jc w:val="center"/>
        </w:pPr>
        <w:r>
          <w:fldChar w:fldCharType="begin"/>
        </w:r>
        <w:r>
          <w:instrText>PAGE   \* MERGEFORMAT</w:instrText>
        </w:r>
        <w:r>
          <w:fldChar w:fldCharType="separate"/>
        </w:r>
        <w:r>
          <w:t>2</w:t>
        </w:r>
        <w:r>
          <w:fldChar w:fldCharType="end"/>
        </w:r>
      </w:p>
    </w:sdtContent>
  </w:sdt>
  <w:p w14:paraId="4D4EDD73" w14:textId="77777777" w:rsidR="006D2DA2" w:rsidRDefault="006D2DA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5AD6E" w14:textId="77777777" w:rsidR="00FF69E9" w:rsidRDefault="00FF69E9" w:rsidP="006D2DA2">
      <w:pPr>
        <w:spacing w:after="0" w:line="240" w:lineRule="auto"/>
      </w:pPr>
      <w:r>
        <w:separator/>
      </w:r>
    </w:p>
  </w:footnote>
  <w:footnote w:type="continuationSeparator" w:id="0">
    <w:p w14:paraId="43662427" w14:textId="77777777" w:rsidR="00FF69E9" w:rsidRDefault="00FF69E9" w:rsidP="006D2D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D1F9D"/>
    <w:multiLevelType w:val="multilevel"/>
    <w:tmpl w:val="0C7EC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F598A"/>
    <w:multiLevelType w:val="multilevel"/>
    <w:tmpl w:val="B63C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E5575"/>
    <w:multiLevelType w:val="hybridMultilevel"/>
    <w:tmpl w:val="67B871E2"/>
    <w:lvl w:ilvl="0" w:tplc="B6986C8A">
      <w:start w:val="6"/>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9C70335"/>
    <w:multiLevelType w:val="multilevel"/>
    <w:tmpl w:val="7BE4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564181"/>
    <w:multiLevelType w:val="multilevel"/>
    <w:tmpl w:val="6D06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83096F"/>
    <w:multiLevelType w:val="multilevel"/>
    <w:tmpl w:val="390A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D33B4E"/>
    <w:multiLevelType w:val="multilevel"/>
    <w:tmpl w:val="AE8C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2A0"/>
    <w:rsid w:val="00030E49"/>
    <w:rsid w:val="000760EB"/>
    <w:rsid w:val="00090C61"/>
    <w:rsid w:val="000D63DE"/>
    <w:rsid w:val="001353B2"/>
    <w:rsid w:val="00135C7A"/>
    <w:rsid w:val="00150274"/>
    <w:rsid w:val="001566EC"/>
    <w:rsid w:val="00166D37"/>
    <w:rsid w:val="001731E4"/>
    <w:rsid w:val="00180A3C"/>
    <w:rsid w:val="001A7E4B"/>
    <w:rsid w:val="001D493D"/>
    <w:rsid w:val="001F5986"/>
    <w:rsid w:val="001F6A1D"/>
    <w:rsid w:val="00235102"/>
    <w:rsid w:val="002627E1"/>
    <w:rsid w:val="00266BC6"/>
    <w:rsid w:val="002A67A7"/>
    <w:rsid w:val="002B11AB"/>
    <w:rsid w:val="002B3FAE"/>
    <w:rsid w:val="002D34FB"/>
    <w:rsid w:val="002E18B8"/>
    <w:rsid w:val="002E3CFB"/>
    <w:rsid w:val="002E720E"/>
    <w:rsid w:val="002F0C0E"/>
    <w:rsid w:val="002F25A3"/>
    <w:rsid w:val="00324AE5"/>
    <w:rsid w:val="00342FD9"/>
    <w:rsid w:val="0034334A"/>
    <w:rsid w:val="003454CC"/>
    <w:rsid w:val="00360A36"/>
    <w:rsid w:val="00374D71"/>
    <w:rsid w:val="0039232E"/>
    <w:rsid w:val="0039764D"/>
    <w:rsid w:val="003C01C1"/>
    <w:rsid w:val="00466CB9"/>
    <w:rsid w:val="0049187B"/>
    <w:rsid w:val="00497E1E"/>
    <w:rsid w:val="004B3809"/>
    <w:rsid w:val="0051341E"/>
    <w:rsid w:val="00520095"/>
    <w:rsid w:val="00527895"/>
    <w:rsid w:val="00543FCD"/>
    <w:rsid w:val="00560ED6"/>
    <w:rsid w:val="005B2B7D"/>
    <w:rsid w:val="00622363"/>
    <w:rsid w:val="006372A0"/>
    <w:rsid w:val="00657731"/>
    <w:rsid w:val="006B2154"/>
    <w:rsid w:val="006C2D70"/>
    <w:rsid w:val="006D0C07"/>
    <w:rsid w:val="006D2DA2"/>
    <w:rsid w:val="006F0EA5"/>
    <w:rsid w:val="006F7F2A"/>
    <w:rsid w:val="00701612"/>
    <w:rsid w:val="0072179A"/>
    <w:rsid w:val="00722EB1"/>
    <w:rsid w:val="00764EA2"/>
    <w:rsid w:val="00766E8F"/>
    <w:rsid w:val="00805764"/>
    <w:rsid w:val="00835C58"/>
    <w:rsid w:val="00841AF1"/>
    <w:rsid w:val="008A4C15"/>
    <w:rsid w:val="008E3DBE"/>
    <w:rsid w:val="00900FB6"/>
    <w:rsid w:val="00921A35"/>
    <w:rsid w:val="0092328C"/>
    <w:rsid w:val="00930806"/>
    <w:rsid w:val="00934047"/>
    <w:rsid w:val="009571D3"/>
    <w:rsid w:val="009623CA"/>
    <w:rsid w:val="009B000E"/>
    <w:rsid w:val="009D20DF"/>
    <w:rsid w:val="009E7B26"/>
    <w:rsid w:val="00A27CB7"/>
    <w:rsid w:val="00A44505"/>
    <w:rsid w:val="00A507FA"/>
    <w:rsid w:val="00AA545B"/>
    <w:rsid w:val="00AA7B2C"/>
    <w:rsid w:val="00AB5106"/>
    <w:rsid w:val="00AD79DB"/>
    <w:rsid w:val="00AF0FED"/>
    <w:rsid w:val="00AF175B"/>
    <w:rsid w:val="00B070ED"/>
    <w:rsid w:val="00B540AD"/>
    <w:rsid w:val="00B57750"/>
    <w:rsid w:val="00B751A9"/>
    <w:rsid w:val="00BA5B0F"/>
    <w:rsid w:val="00BD371D"/>
    <w:rsid w:val="00BE4433"/>
    <w:rsid w:val="00C22422"/>
    <w:rsid w:val="00CC1DBA"/>
    <w:rsid w:val="00CE2E72"/>
    <w:rsid w:val="00D45A9B"/>
    <w:rsid w:val="00D67ED2"/>
    <w:rsid w:val="00D83807"/>
    <w:rsid w:val="00E02688"/>
    <w:rsid w:val="00E07E7B"/>
    <w:rsid w:val="00E1155A"/>
    <w:rsid w:val="00E14946"/>
    <w:rsid w:val="00E1745B"/>
    <w:rsid w:val="00E31975"/>
    <w:rsid w:val="00E352C5"/>
    <w:rsid w:val="00E468AC"/>
    <w:rsid w:val="00E856CD"/>
    <w:rsid w:val="00EB4F05"/>
    <w:rsid w:val="00EB7F38"/>
    <w:rsid w:val="00ED2275"/>
    <w:rsid w:val="00EE5420"/>
    <w:rsid w:val="00EF15BA"/>
    <w:rsid w:val="00F44D48"/>
    <w:rsid w:val="00F96B65"/>
    <w:rsid w:val="00FC1B01"/>
    <w:rsid w:val="00FD026D"/>
    <w:rsid w:val="00FF099A"/>
    <w:rsid w:val="00FF20A1"/>
    <w:rsid w:val="00FF6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E31AD"/>
  <w15:chartTrackingRefBased/>
  <w15:docId w15:val="{83464D51-FD14-4F37-8448-6826BF15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502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5027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5027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027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5027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50274"/>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1502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50274"/>
    <w:rPr>
      <w:b/>
      <w:bCs/>
    </w:rPr>
  </w:style>
  <w:style w:type="paragraph" w:styleId="a5">
    <w:name w:val="List Paragraph"/>
    <w:basedOn w:val="a"/>
    <w:uiPriority w:val="34"/>
    <w:qFormat/>
    <w:rsid w:val="002A67A7"/>
    <w:pPr>
      <w:ind w:left="720"/>
      <w:contextualSpacing/>
    </w:pPr>
  </w:style>
  <w:style w:type="paragraph" w:styleId="a6">
    <w:name w:val="header"/>
    <w:basedOn w:val="a"/>
    <w:link w:val="a7"/>
    <w:uiPriority w:val="99"/>
    <w:unhideWhenUsed/>
    <w:rsid w:val="006D2DA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D2DA2"/>
  </w:style>
  <w:style w:type="paragraph" w:styleId="a8">
    <w:name w:val="footer"/>
    <w:basedOn w:val="a"/>
    <w:link w:val="a9"/>
    <w:uiPriority w:val="99"/>
    <w:unhideWhenUsed/>
    <w:rsid w:val="006D2DA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D2DA2"/>
  </w:style>
  <w:style w:type="character" w:customStyle="1" w:styleId="aa">
    <w:name w:val="Основной текст_"/>
    <w:link w:val="11"/>
    <w:rsid w:val="00D45A9B"/>
    <w:rPr>
      <w:rFonts w:eastAsia="Arial"/>
      <w:shd w:val="clear" w:color="auto" w:fill="FFFFFF"/>
    </w:rPr>
  </w:style>
  <w:style w:type="paragraph" w:customStyle="1" w:styleId="11">
    <w:name w:val="Основной текст1"/>
    <w:basedOn w:val="a"/>
    <w:link w:val="aa"/>
    <w:rsid w:val="00D45A9B"/>
    <w:pPr>
      <w:widowControl w:val="0"/>
      <w:shd w:val="clear" w:color="auto" w:fill="FFFFFF"/>
      <w:spacing w:after="0" w:line="322" w:lineRule="auto"/>
    </w:pPr>
    <w:rPr>
      <w:rFonts w:eastAsia="Arial"/>
    </w:rPr>
  </w:style>
  <w:style w:type="character" w:customStyle="1" w:styleId="12">
    <w:name w:val="Основной текст Знак1"/>
    <w:uiPriority w:val="99"/>
    <w:rsid w:val="009623CA"/>
    <w:rPr>
      <w:rFonts w:ascii="Cambria" w:hAnsi="Cambria" w:cs="Cambria"/>
      <w:sz w:val="26"/>
      <w:szCs w:val="26"/>
    </w:rPr>
  </w:style>
  <w:style w:type="paragraph" w:styleId="ab">
    <w:name w:val="No Spacing"/>
    <w:aliases w:val="- ОСНОВНОЙ"/>
    <w:link w:val="ac"/>
    <w:qFormat/>
    <w:rsid w:val="000760EB"/>
    <w:pPr>
      <w:spacing w:after="0" w:line="240" w:lineRule="auto"/>
    </w:pPr>
  </w:style>
  <w:style w:type="character" w:customStyle="1" w:styleId="ac">
    <w:name w:val="Без интервала Знак"/>
    <w:aliases w:val="- ОСНОВНОЙ Знак"/>
    <w:link w:val="ab"/>
    <w:rsid w:val="000760EB"/>
  </w:style>
  <w:style w:type="paragraph" w:styleId="ad">
    <w:name w:val="Subtitle"/>
    <w:basedOn w:val="a"/>
    <w:next w:val="a"/>
    <w:link w:val="ae"/>
    <w:uiPriority w:val="11"/>
    <w:qFormat/>
    <w:rsid w:val="00235102"/>
    <w:pPr>
      <w:numPr>
        <w:ilvl w:val="1"/>
      </w:numPr>
    </w:pPr>
    <w:rPr>
      <w:rFonts w:eastAsiaTheme="minorEastAsia"/>
      <w:color w:val="5A5A5A" w:themeColor="text1" w:themeTint="A5"/>
      <w:spacing w:val="15"/>
    </w:rPr>
  </w:style>
  <w:style w:type="character" w:customStyle="1" w:styleId="ae">
    <w:name w:val="Подзаголовок Знак"/>
    <w:basedOn w:val="a0"/>
    <w:link w:val="ad"/>
    <w:uiPriority w:val="11"/>
    <w:rsid w:val="0023510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7164">
      <w:bodyDiv w:val="1"/>
      <w:marLeft w:val="0"/>
      <w:marRight w:val="0"/>
      <w:marTop w:val="0"/>
      <w:marBottom w:val="0"/>
      <w:divBdr>
        <w:top w:val="none" w:sz="0" w:space="0" w:color="auto"/>
        <w:left w:val="none" w:sz="0" w:space="0" w:color="auto"/>
        <w:bottom w:val="none" w:sz="0" w:space="0" w:color="auto"/>
        <w:right w:val="none" w:sz="0" w:space="0" w:color="auto"/>
      </w:divBdr>
    </w:div>
    <w:div w:id="121265253">
      <w:bodyDiv w:val="1"/>
      <w:marLeft w:val="0"/>
      <w:marRight w:val="0"/>
      <w:marTop w:val="0"/>
      <w:marBottom w:val="0"/>
      <w:divBdr>
        <w:top w:val="none" w:sz="0" w:space="0" w:color="auto"/>
        <w:left w:val="none" w:sz="0" w:space="0" w:color="auto"/>
        <w:bottom w:val="none" w:sz="0" w:space="0" w:color="auto"/>
        <w:right w:val="none" w:sz="0" w:space="0" w:color="auto"/>
      </w:divBdr>
      <w:divsChild>
        <w:div w:id="1593317594">
          <w:marLeft w:val="0"/>
          <w:marRight w:val="0"/>
          <w:marTop w:val="0"/>
          <w:marBottom w:val="0"/>
          <w:divBdr>
            <w:top w:val="none" w:sz="0" w:space="0" w:color="auto"/>
            <w:left w:val="none" w:sz="0" w:space="0" w:color="auto"/>
            <w:bottom w:val="none" w:sz="0" w:space="0" w:color="auto"/>
            <w:right w:val="none" w:sz="0" w:space="0" w:color="auto"/>
          </w:divBdr>
        </w:div>
        <w:div w:id="2084990844">
          <w:marLeft w:val="0"/>
          <w:marRight w:val="0"/>
          <w:marTop w:val="0"/>
          <w:marBottom w:val="0"/>
          <w:divBdr>
            <w:top w:val="none" w:sz="0" w:space="0" w:color="auto"/>
            <w:left w:val="none" w:sz="0" w:space="0" w:color="auto"/>
            <w:bottom w:val="none" w:sz="0" w:space="0" w:color="auto"/>
            <w:right w:val="none" w:sz="0" w:space="0" w:color="auto"/>
          </w:divBdr>
        </w:div>
        <w:div w:id="1073242082">
          <w:marLeft w:val="0"/>
          <w:marRight w:val="0"/>
          <w:marTop w:val="240"/>
          <w:marBottom w:val="120"/>
          <w:divBdr>
            <w:top w:val="none" w:sz="0" w:space="0" w:color="auto"/>
            <w:left w:val="none" w:sz="0" w:space="0" w:color="auto"/>
            <w:bottom w:val="none" w:sz="0" w:space="0" w:color="auto"/>
            <w:right w:val="none" w:sz="0" w:space="0" w:color="auto"/>
          </w:divBdr>
          <w:divsChild>
            <w:div w:id="1266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7817">
      <w:bodyDiv w:val="1"/>
      <w:marLeft w:val="0"/>
      <w:marRight w:val="0"/>
      <w:marTop w:val="0"/>
      <w:marBottom w:val="0"/>
      <w:divBdr>
        <w:top w:val="none" w:sz="0" w:space="0" w:color="auto"/>
        <w:left w:val="none" w:sz="0" w:space="0" w:color="auto"/>
        <w:bottom w:val="none" w:sz="0" w:space="0" w:color="auto"/>
        <w:right w:val="none" w:sz="0" w:space="0" w:color="auto"/>
      </w:divBdr>
    </w:div>
    <w:div w:id="327750728">
      <w:bodyDiv w:val="1"/>
      <w:marLeft w:val="0"/>
      <w:marRight w:val="0"/>
      <w:marTop w:val="0"/>
      <w:marBottom w:val="0"/>
      <w:divBdr>
        <w:top w:val="none" w:sz="0" w:space="0" w:color="auto"/>
        <w:left w:val="none" w:sz="0" w:space="0" w:color="auto"/>
        <w:bottom w:val="none" w:sz="0" w:space="0" w:color="auto"/>
        <w:right w:val="none" w:sz="0" w:space="0" w:color="auto"/>
      </w:divBdr>
      <w:divsChild>
        <w:div w:id="1990206554">
          <w:marLeft w:val="0"/>
          <w:marRight w:val="0"/>
          <w:marTop w:val="0"/>
          <w:marBottom w:val="0"/>
          <w:divBdr>
            <w:top w:val="none" w:sz="0" w:space="0" w:color="auto"/>
            <w:left w:val="none" w:sz="0" w:space="0" w:color="auto"/>
            <w:bottom w:val="none" w:sz="0" w:space="0" w:color="auto"/>
            <w:right w:val="none" w:sz="0" w:space="0" w:color="auto"/>
          </w:divBdr>
          <w:divsChild>
            <w:div w:id="514073675">
              <w:marLeft w:val="0"/>
              <w:marRight w:val="0"/>
              <w:marTop w:val="0"/>
              <w:marBottom w:val="0"/>
              <w:divBdr>
                <w:top w:val="none" w:sz="0" w:space="0" w:color="auto"/>
                <w:left w:val="none" w:sz="0" w:space="0" w:color="auto"/>
                <w:bottom w:val="none" w:sz="0" w:space="0" w:color="auto"/>
                <w:right w:val="none" w:sz="0" w:space="0" w:color="auto"/>
              </w:divBdr>
              <w:divsChild>
                <w:div w:id="29185801">
                  <w:marLeft w:val="0"/>
                  <w:marRight w:val="0"/>
                  <w:marTop w:val="0"/>
                  <w:marBottom w:val="0"/>
                  <w:divBdr>
                    <w:top w:val="none" w:sz="0" w:space="0" w:color="auto"/>
                    <w:left w:val="none" w:sz="0" w:space="0" w:color="auto"/>
                    <w:bottom w:val="none" w:sz="0" w:space="0" w:color="auto"/>
                    <w:right w:val="none" w:sz="0" w:space="0" w:color="auto"/>
                  </w:divBdr>
                  <w:divsChild>
                    <w:div w:id="1802531374">
                      <w:marLeft w:val="0"/>
                      <w:marRight w:val="0"/>
                      <w:marTop w:val="0"/>
                      <w:marBottom w:val="0"/>
                      <w:divBdr>
                        <w:top w:val="none" w:sz="0" w:space="0" w:color="auto"/>
                        <w:left w:val="none" w:sz="0" w:space="0" w:color="auto"/>
                        <w:bottom w:val="none" w:sz="0" w:space="0" w:color="auto"/>
                        <w:right w:val="none" w:sz="0" w:space="0" w:color="auto"/>
                      </w:divBdr>
                      <w:divsChild>
                        <w:div w:id="376592439">
                          <w:marLeft w:val="0"/>
                          <w:marRight w:val="0"/>
                          <w:marTop w:val="0"/>
                          <w:marBottom w:val="0"/>
                          <w:divBdr>
                            <w:top w:val="none" w:sz="0" w:space="0" w:color="auto"/>
                            <w:left w:val="none" w:sz="0" w:space="0" w:color="auto"/>
                            <w:bottom w:val="none" w:sz="0" w:space="0" w:color="auto"/>
                            <w:right w:val="none" w:sz="0" w:space="0" w:color="auto"/>
                          </w:divBdr>
                          <w:divsChild>
                            <w:div w:id="1011906802">
                              <w:marLeft w:val="0"/>
                              <w:marRight w:val="0"/>
                              <w:marTop w:val="0"/>
                              <w:marBottom w:val="0"/>
                              <w:divBdr>
                                <w:top w:val="none" w:sz="0" w:space="0" w:color="auto"/>
                                <w:left w:val="none" w:sz="0" w:space="0" w:color="auto"/>
                                <w:bottom w:val="none" w:sz="0" w:space="0" w:color="auto"/>
                                <w:right w:val="none" w:sz="0" w:space="0" w:color="auto"/>
                              </w:divBdr>
                              <w:divsChild>
                                <w:div w:id="1617254531">
                                  <w:marLeft w:val="0"/>
                                  <w:marRight w:val="0"/>
                                  <w:marTop w:val="0"/>
                                  <w:marBottom w:val="0"/>
                                  <w:divBdr>
                                    <w:top w:val="none" w:sz="0" w:space="0" w:color="auto"/>
                                    <w:left w:val="none" w:sz="0" w:space="0" w:color="auto"/>
                                    <w:bottom w:val="none" w:sz="0" w:space="0" w:color="auto"/>
                                    <w:right w:val="none" w:sz="0" w:space="0" w:color="auto"/>
                                  </w:divBdr>
                                  <w:divsChild>
                                    <w:div w:id="412510551">
                                      <w:marLeft w:val="0"/>
                                      <w:marRight w:val="0"/>
                                      <w:marTop w:val="0"/>
                                      <w:marBottom w:val="0"/>
                                      <w:divBdr>
                                        <w:top w:val="none" w:sz="0" w:space="0" w:color="auto"/>
                                        <w:left w:val="none" w:sz="0" w:space="0" w:color="auto"/>
                                        <w:bottom w:val="none" w:sz="0" w:space="0" w:color="auto"/>
                                        <w:right w:val="none" w:sz="0" w:space="0" w:color="auto"/>
                                      </w:divBdr>
                                      <w:divsChild>
                                        <w:div w:id="953175339">
                                          <w:marLeft w:val="0"/>
                                          <w:marRight w:val="0"/>
                                          <w:marTop w:val="0"/>
                                          <w:marBottom w:val="0"/>
                                          <w:divBdr>
                                            <w:top w:val="none" w:sz="0" w:space="0" w:color="auto"/>
                                            <w:left w:val="none" w:sz="0" w:space="0" w:color="auto"/>
                                            <w:bottom w:val="none" w:sz="0" w:space="0" w:color="auto"/>
                                            <w:right w:val="none" w:sz="0" w:space="0" w:color="auto"/>
                                          </w:divBdr>
                                          <w:divsChild>
                                            <w:div w:id="27953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6754334">
      <w:bodyDiv w:val="1"/>
      <w:marLeft w:val="0"/>
      <w:marRight w:val="0"/>
      <w:marTop w:val="0"/>
      <w:marBottom w:val="0"/>
      <w:divBdr>
        <w:top w:val="none" w:sz="0" w:space="0" w:color="auto"/>
        <w:left w:val="none" w:sz="0" w:space="0" w:color="auto"/>
        <w:bottom w:val="none" w:sz="0" w:space="0" w:color="auto"/>
        <w:right w:val="none" w:sz="0" w:space="0" w:color="auto"/>
      </w:divBdr>
      <w:divsChild>
        <w:div w:id="72898875">
          <w:marLeft w:val="0"/>
          <w:marRight w:val="11823"/>
          <w:marTop w:val="0"/>
          <w:marBottom w:val="0"/>
          <w:divBdr>
            <w:top w:val="none" w:sz="0" w:space="0" w:color="auto"/>
            <w:left w:val="none" w:sz="0" w:space="0" w:color="auto"/>
            <w:bottom w:val="none" w:sz="0" w:space="0" w:color="auto"/>
            <w:right w:val="none" w:sz="0" w:space="0" w:color="auto"/>
          </w:divBdr>
          <w:divsChild>
            <w:div w:id="576017124">
              <w:marLeft w:val="0"/>
              <w:marRight w:val="0"/>
              <w:marTop w:val="0"/>
              <w:marBottom w:val="0"/>
              <w:divBdr>
                <w:top w:val="none" w:sz="0" w:space="0" w:color="auto"/>
                <w:left w:val="none" w:sz="0" w:space="0" w:color="auto"/>
                <w:bottom w:val="none" w:sz="0" w:space="0" w:color="auto"/>
                <w:right w:val="none" w:sz="0" w:space="0" w:color="auto"/>
              </w:divBdr>
            </w:div>
          </w:divsChild>
        </w:div>
        <w:div w:id="2059087744">
          <w:marLeft w:val="0"/>
          <w:marRight w:val="11823"/>
          <w:marTop w:val="0"/>
          <w:marBottom w:val="0"/>
          <w:divBdr>
            <w:top w:val="none" w:sz="0" w:space="0" w:color="auto"/>
            <w:left w:val="none" w:sz="0" w:space="0" w:color="auto"/>
            <w:bottom w:val="none" w:sz="0" w:space="0" w:color="auto"/>
            <w:right w:val="none" w:sz="0" w:space="0" w:color="auto"/>
          </w:divBdr>
          <w:divsChild>
            <w:div w:id="1471357981">
              <w:marLeft w:val="0"/>
              <w:marRight w:val="0"/>
              <w:marTop w:val="0"/>
              <w:marBottom w:val="0"/>
              <w:divBdr>
                <w:top w:val="none" w:sz="0" w:space="0" w:color="auto"/>
                <w:left w:val="none" w:sz="0" w:space="0" w:color="auto"/>
                <w:bottom w:val="none" w:sz="0" w:space="0" w:color="auto"/>
                <w:right w:val="none" w:sz="0" w:space="0" w:color="auto"/>
              </w:divBdr>
            </w:div>
          </w:divsChild>
        </w:div>
        <w:div w:id="2118869694">
          <w:marLeft w:val="0"/>
          <w:marRight w:val="11823"/>
          <w:marTop w:val="0"/>
          <w:marBottom w:val="0"/>
          <w:divBdr>
            <w:top w:val="none" w:sz="0" w:space="0" w:color="auto"/>
            <w:left w:val="none" w:sz="0" w:space="0" w:color="auto"/>
            <w:bottom w:val="none" w:sz="0" w:space="0" w:color="auto"/>
            <w:right w:val="none" w:sz="0" w:space="0" w:color="auto"/>
          </w:divBdr>
          <w:divsChild>
            <w:div w:id="140195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24074">
      <w:bodyDiv w:val="1"/>
      <w:marLeft w:val="0"/>
      <w:marRight w:val="0"/>
      <w:marTop w:val="0"/>
      <w:marBottom w:val="0"/>
      <w:divBdr>
        <w:top w:val="none" w:sz="0" w:space="0" w:color="auto"/>
        <w:left w:val="none" w:sz="0" w:space="0" w:color="auto"/>
        <w:bottom w:val="none" w:sz="0" w:space="0" w:color="auto"/>
        <w:right w:val="none" w:sz="0" w:space="0" w:color="auto"/>
      </w:divBdr>
      <w:divsChild>
        <w:div w:id="4812406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040759">
      <w:bodyDiv w:val="1"/>
      <w:marLeft w:val="0"/>
      <w:marRight w:val="0"/>
      <w:marTop w:val="0"/>
      <w:marBottom w:val="0"/>
      <w:divBdr>
        <w:top w:val="none" w:sz="0" w:space="0" w:color="auto"/>
        <w:left w:val="none" w:sz="0" w:space="0" w:color="auto"/>
        <w:bottom w:val="none" w:sz="0" w:space="0" w:color="auto"/>
        <w:right w:val="none" w:sz="0" w:space="0" w:color="auto"/>
      </w:divBdr>
      <w:divsChild>
        <w:div w:id="270211658">
          <w:marLeft w:val="0"/>
          <w:marRight w:val="11823"/>
          <w:marTop w:val="0"/>
          <w:marBottom w:val="0"/>
          <w:divBdr>
            <w:top w:val="none" w:sz="0" w:space="0" w:color="auto"/>
            <w:left w:val="none" w:sz="0" w:space="0" w:color="auto"/>
            <w:bottom w:val="none" w:sz="0" w:space="0" w:color="auto"/>
            <w:right w:val="none" w:sz="0" w:space="0" w:color="auto"/>
          </w:divBdr>
          <w:divsChild>
            <w:div w:id="762141623">
              <w:marLeft w:val="0"/>
              <w:marRight w:val="0"/>
              <w:marTop w:val="0"/>
              <w:marBottom w:val="0"/>
              <w:divBdr>
                <w:top w:val="none" w:sz="0" w:space="0" w:color="auto"/>
                <w:left w:val="none" w:sz="0" w:space="0" w:color="auto"/>
                <w:bottom w:val="none" w:sz="0" w:space="0" w:color="auto"/>
                <w:right w:val="none" w:sz="0" w:space="0" w:color="auto"/>
              </w:divBdr>
            </w:div>
          </w:divsChild>
        </w:div>
        <w:div w:id="1318268147">
          <w:marLeft w:val="0"/>
          <w:marRight w:val="11823"/>
          <w:marTop w:val="0"/>
          <w:marBottom w:val="0"/>
          <w:divBdr>
            <w:top w:val="none" w:sz="0" w:space="0" w:color="auto"/>
            <w:left w:val="none" w:sz="0" w:space="0" w:color="auto"/>
            <w:bottom w:val="none" w:sz="0" w:space="0" w:color="auto"/>
            <w:right w:val="none" w:sz="0" w:space="0" w:color="auto"/>
          </w:divBdr>
          <w:divsChild>
            <w:div w:id="381564340">
              <w:marLeft w:val="0"/>
              <w:marRight w:val="0"/>
              <w:marTop w:val="0"/>
              <w:marBottom w:val="0"/>
              <w:divBdr>
                <w:top w:val="none" w:sz="0" w:space="0" w:color="auto"/>
                <w:left w:val="none" w:sz="0" w:space="0" w:color="auto"/>
                <w:bottom w:val="none" w:sz="0" w:space="0" w:color="auto"/>
                <w:right w:val="none" w:sz="0" w:space="0" w:color="auto"/>
              </w:divBdr>
            </w:div>
          </w:divsChild>
        </w:div>
        <w:div w:id="378214538">
          <w:marLeft w:val="0"/>
          <w:marRight w:val="11823"/>
          <w:marTop w:val="0"/>
          <w:marBottom w:val="0"/>
          <w:divBdr>
            <w:top w:val="none" w:sz="0" w:space="0" w:color="auto"/>
            <w:left w:val="none" w:sz="0" w:space="0" w:color="auto"/>
            <w:bottom w:val="none" w:sz="0" w:space="0" w:color="auto"/>
            <w:right w:val="none" w:sz="0" w:space="0" w:color="auto"/>
          </w:divBdr>
          <w:divsChild>
            <w:div w:id="180021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860798">
      <w:bodyDiv w:val="1"/>
      <w:marLeft w:val="0"/>
      <w:marRight w:val="0"/>
      <w:marTop w:val="0"/>
      <w:marBottom w:val="0"/>
      <w:divBdr>
        <w:top w:val="none" w:sz="0" w:space="0" w:color="auto"/>
        <w:left w:val="none" w:sz="0" w:space="0" w:color="auto"/>
        <w:bottom w:val="none" w:sz="0" w:space="0" w:color="auto"/>
        <w:right w:val="none" w:sz="0" w:space="0" w:color="auto"/>
      </w:divBdr>
      <w:divsChild>
        <w:div w:id="1700282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989810">
      <w:bodyDiv w:val="1"/>
      <w:marLeft w:val="0"/>
      <w:marRight w:val="0"/>
      <w:marTop w:val="0"/>
      <w:marBottom w:val="0"/>
      <w:divBdr>
        <w:top w:val="none" w:sz="0" w:space="0" w:color="auto"/>
        <w:left w:val="none" w:sz="0" w:space="0" w:color="auto"/>
        <w:bottom w:val="none" w:sz="0" w:space="0" w:color="auto"/>
        <w:right w:val="none" w:sz="0" w:space="0" w:color="auto"/>
      </w:divBdr>
      <w:divsChild>
        <w:div w:id="837157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4126282">
      <w:bodyDiv w:val="1"/>
      <w:marLeft w:val="0"/>
      <w:marRight w:val="0"/>
      <w:marTop w:val="0"/>
      <w:marBottom w:val="0"/>
      <w:divBdr>
        <w:top w:val="none" w:sz="0" w:space="0" w:color="auto"/>
        <w:left w:val="none" w:sz="0" w:space="0" w:color="auto"/>
        <w:bottom w:val="none" w:sz="0" w:space="0" w:color="auto"/>
        <w:right w:val="none" w:sz="0" w:space="0" w:color="auto"/>
      </w:divBdr>
    </w:div>
    <w:div w:id="1933663809">
      <w:bodyDiv w:val="1"/>
      <w:marLeft w:val="0"/>
      <w:marRight w:val="0"/>
      <w:marTop w:val="0"/>
      <w:marBottom w:val="0"/>
      <w:divBdr>
        <w:top w:val="none" w:sz="0" w:space="0" w:color="auto"/>
        <w:left w:val="none" w:sz="0" w:space="0" w:color="auto"/>
        <w:bottom w:val="none" w:sz="0" w:space="0" w:color="auto"/>
        <w:right w:val="none" w:sz="0" w:space="0" w:color="auto"/>
      </w:divBdr>
    </w:div>
    <w:div w:id="198681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0E7AE-5D19-4C39-9E23-E109D63BE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2834</Words>
  <Characters>16159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dc:creator>
  <cp:keywords/>
  <dc:description/>
  <cp:lastModifiedBy>admin</cp:lastModifiedBy>
  <cp:revision>3</cp:revision>
  <cp:lastPrinted>2026-06-18T10:38:00Z</cp:lastPrinted>
  <dcterms:created xsi:type="dcterms:W3CDTF">2026-06-19T06:45:00Z</dcterms:created>
  <dcterms:modified xsi:type="dcterms:W3CDTF">2026-06-19T06:50:00Z</dcterms:modified>
</cp:coreProperties>
</file>