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DE0" w:rsidRDefault="004B5DE0">
      <w:pPr>
        <w:pStyle w:val="a3"/>
        <w:spacing w:before="175" w:after="32"/>
        <w:ind w:right="4"/>
        <w:jc w:val="center"/>
      </w:pPr>
    </w:p>
    <w:p w:rsidR="00946F45" w:rsidRDefault="00946F45">
      <w:pPr>
        <w:pStyle w:val="TableParagraph"/>
        <w:spacing w:line="259" w:lineRule="auto"/>
        <w:rPr>
          <w:sz w:val="24"/>
        </w:rPr>
      </w:pPr>
    </w:p>
    <w:p w:rsidR="004B5DE0" w:rsidRDefault="004B5DE0">
      <w:pPr>
        <w:pStyle w:val="TableParagraph"/>
        <w:spacing w:line="259" w:lineRule="auto"/>
        <w:rPr>
          <w:sz w:val="24"/>
        </w:rPr>
        <w:sectPr w:rsidR="004B5DE0">
          <w:footerReference w:type="default" r:id="rId7"/>
          <w:type w:val="continuous"/>
          <w:pgSz w:w="16840" w:h="11910" w:orient="landscape"/>
          <w:pgMar w:top="1060" w:right="566" w:bottom="1120" w:left="566" w:header="0" w:footer="932" w:gutter="0"/>
          <w:pgNumType w:start="1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795"/>
        <w:gridCol w:w="7122"/>
        <w:gridCol w:w="1417"/>
        <w:gridCol w:w="1134"/>
        <w:gridCol w:w="2416"/>
      </w:tblGrid>
      <w:tr w:rsidR="001759C1" w:rsidTr="001759C1">
        <w:trPr>
          <w:trHeight w:val="694"/>
        </w:trPr>
        <w:tc>
          <w:tcPr>
            <w:tcW w:w="569" w:type="dxa"/>
            <w:shd w:val="clear" w:color="auto" w:fill="DDEBF7"/>
          </w:tcPr>
          <w:p w:rsidR="001759C1" w:rsidRDefault="001759C1">
            <w:pPr>
              <w:pStyle w:val="TableParagraph"/>
              <w:ind w:left="187"/>
            </w:pPr>
          </w:p>
        </w:tc>
        <w:tc>
          <w:tcPr>
            <w:tcW w:w="14884" w:type="dxa"/>
            <w:gridSpan w:val="5"/>
            <w:shd w:val="clear" w:color="auto" w:fill="DDEBF7"/>
          </w:tcPr>
          <w:p w:rsidR="001759C1" w:rsidRPr="001759C1" w:rsidRDefault="001759C1" w:rsidP="001759C1">
            <w:pPr>
              <w:pStyle w:val="a3"/>
              <w:spacing w:before="175" w:after="32"/>
              <w:ind w:right="4"/>
              <w:jc w:val="center"/>
              <w:rPr>
                <w:spacing w:val="-2"/>
                <w:sz w:val="28"/>
                <w:szCs w:val="28"/>
              </w:rPr>
            </w:pPr>
            <w:r w:rsidRPr="001759C1">
              <w:rPr>
                <w:spacing w:val="-2"/>
                <w:sz w:val="28"/>
                <w:szCs w:val="28"/>
              </w:rPr>
              <w:t>Yer to‘g‘risidagi fanlar</w:t>
            </w:r>
          </w:p>
          <w:p w:rsidR="001759C1" w:rsidRDefault="001759C1" w:rsidP="001759C1">
            <w:pPr>
              <w:pStyle w:val="TableParagraph"/>
              <w:spacing w:line="259" w:lineRule="auto"/>
              <w:ind w:left="1126" w:hanging="576"/>
              <w:jc w:val="center"/>
            </w:pPr>
          </w:p>
        </w:tc>
      </w:tr>
      <w:tr w:rsidR="001759C1" w:rsidTr="005F7C4A">
        <w:trPr>
          <w:trHeight w:val="1104"/>
        </w:trPr>
        <w:tc>
          <w:tcPr>
            <w:tcW w:w="569" w:type="dxa"/>
            <w:shd w:val="clear" w:color="auto" w:fill="DDEBF7"/>
          </w:tcPr>
          <w:p w:rsidR="001759C1" w:rsidRDefault="001759C1" w:rsidP="001759C1">
            <w:pPr>
              <w:pStyle w:val="TableParagraph"/>
              <w:spacing w:before="169"/>
              <w:rPr>
                <w:b/>
              </w:rPr>
            </w:pPr>
          </w:p>
          <w:p w:rsidR="001759C1" w:rsidRDefault="001759C1" w:rsidP="001759C1">
            <w:pPr>
              <w:pStyle w:val="TableParagraph"/>
              <w:ind w:left="187"/>
            </w:pPr>
            <w:r>
              <w:rPr>
                <w:spacing w:val="-5"/>
              </w:rPr>
              <w:t>t/r</w:t>
            </w:r>
          </w:p>
        </w:tc>
        <w:tc>
          <w:tcPr>
            <w:tcW w:w="2795" w:type="dxa"/>
            <w:shd w:val="clear" w:color="auto" w:fill="DDEBF7"/>
          </w:tcPr>
          <w:p w:rsidR="001759C1" w:rsidRPr="00BC4E38" w:rsidRDefault="001759C1" w:rsidP="001759C1">
            <w:pPr>
              <w:pStyle w:val="TableParagraph"/>
              <w:spacing w:before="169"/>
              <w:rPr>
                <w:b/>
              </w:rPr>
            </w:pPr>
          </w:p>
          <w:p w:rsidR="001759C1" w:rsidRPr="00BC4E38" w:rsidRDefault="001759C1" w:rsidP="001759C1">
            <w:pPr>
              <w:pStyle w:val="TableParagraph"/>
              <w:ind w:left="692"/>
              <w:rPr>
                <w:b/>
              </w:rPr>
            </w:pPr>
            <w:r w:rsidRPr="00BC4E38">
              <w:rPr>
                <w:b/>
              </w:rPr>
              <w:t>Loyiha</w:t>
            </w:r>
            <w:r w:rsidRPr="00BC4E38">
              <w:rPr>
                <w:b/>
                <w:spacing w:val="-8"/>
              </w:rPr>
              <w:t xml:space="preserve"> </w:t>
            </w:r>
            <w:r w:rsidRPr="00BC4E38">
              <w:rPr>
                <w:b/>
                <w:spacing w:val="-2"/>
              </w:rPr>
              <w:t>mavzusi</w:t>
            </w:r>
          </w:p>
        </w:tc>
        <w:tc>
          <w:tcPr>
            <w:tcW w:w="7122" w:type="dxa"/>
            <w:shd w:val="clear" w:color="auto" w:fill="DDEBF7"/>
          </w:tcPr>
          <w:p w:rsidR="001759C1" w:rsidRPr="00BC4E38" w:rsidRDefault="001759C1" w:rsidP="001759C1">
            <w:pPr>
              <w:pStyle w:val="TableParagraph"/>
              <w:spacing w:before="169"/>
              <w:rPr>
                <w:b/>
              </w:rPr>
            </w:pPr>
          </w:p>
          <w:p w:rsidR="001759C1" w:rsidRPr="00BC4E38" w:rsidRDefault="001759C1" w:rsidP="001759C1">
            <w:pPr>
              <w:pStyle w:val="TableParagraph"/>
              <w:ind w:left="1372"/>
              <w:rPr>
                <w:b/>
              </w:rPr>
            </w:pPr>
            <w:r w:rsidRPr="00BC4E38">
              <w:rPr>
                <w:b/>
              </w:rPr>
              <w:t>Loyiha</w:t>
            </w:r>
            <w:r w:rsidRPr="00BC4E38">
              <w:rPr>
                <w:b/>
                <w:spacing w:val="-13"/>
              </w:rPr>
              <w:t xml:space="preserve"> </w:t>
            </w:r>
            <w:r w:rsidRPr="00BC4E38">
              <w:rPr>
                <w:b/>
              </w:rPr>
              <w:t>bajarilishidan</w:t>
            </w:r>
            <w:r w:rsidRPr="00BC4E38">
              <w:rPr>
                <w:b/>
                <w:spacing w:val="-9"/>
              </w:rPr>
              <w:t xml:space="preserve"> </w:t>
            </w:r>
            <w:r w:rsidRPr="00BC4E38">
              <w:rPr>
                <w:b/>
              </w:rPr>
              <w:t>kutilayotgan</w:t>
            </w:r>
            <w:r w:rsidRPr="00BC4E38">
              <w:rPr>
                <w:b/>
                <w:spacing w:val="-13"/>
              </w:rPr>
              <w:t xml:space="preserve"> </w:t>
            </w:r>
            <w:r w:rsidRPr="00BC4E38">
              <w:rPr>
                <w:b/>
                <w:spacing w:val="-2"/>
              </w:rPr>
              <w:t>natijalar</w:t>
            </w:r>
          </w:p>
        </w:tc>
        <w:tc>
          <w:tcPr>
            <w:tcW w:w="1417" w:type="dxa"/>
            <w:shd w:val="clear" w:color="auto" w:fill="DDEBF7"/>
          </w:tcPr>
          <w:p w:rsidR="001759C1" w:rsidRPr="00BC4E38" w:rsidRDefault="001759C1" w:rsidP="001759C1">
            <w:pPr>
              <w:pStyle w:val="TableParagraph"/>
              <w:spacing w:before="11" w:line="259" w:lineRule="auto"/>
              <w:ind w:left="2" w:right="72" w:hanging="1"/>
              <w:jc w:val="center"/>
              <w:rPr>
                <w:b/>
              </w:rPr>
            </w:pPr>
            <w:r w:rsidRPr="00BC4E38">
              <w:rPr>
                <w:b/>
                <w:spacing w:val="-2"/>
              </w:rPr>
              <w:t xml:space="preserve">Loyihani moliyalashtir </w:t>
            </w:r>
            <w:r w:rsidRPr="00BC4E38">
              <w:rPr>
                <w:b/>
              </w:rPr>
              <w:t>ish xajmi,</w:t>
            </w:r>
          </w:p>
          <w:p w:rsidR="001759C1" w:rsidRPr="00BC4E38" w:rsidRDefault="001759C1" w:rsidP="001759C1">
            <w:pPr>
              <w:pStyle w:val="TableParagraph"/>
              <w:spacing w:before="1" w:line="252" w:lineRule="exact"/>
              <w:ind w:left="2"/>
              <w:jc w:val="center"/>
              <w:rPr>
                <w:b/>
              </w:rPr>
            </w:pPr>
            <w:r w:rsidRPr="00BC4E38">
              <w:rPr>
                <w:b/>
              </w:rPr>
              <w:t>mln.</w:t>
            </w:r>
            <w:r w:rsidRPr="00BC4E38">
              <w:rPr>
                <w:b/>
                <w:spacing w:val="-4"/>
              </w:rPr>
              <w:t xml:space="preserve"> so‘m</w:t>
            </w:r>
          </w:p>
        </w:tc>
        <w:tc>
          <w:tcPr>
            <w:tcW w:w="1134" w:type="dxa"/>
            <w:shd w:val="clear" w:color="auto" w:fill="DDEBF7"/>
          </w:tcPr>
          <w:p w:rsidR="001759C1" w:rsidRPr="00BC4E38" w:rsidRDefault="001759C1" w:rsidP="001759C1">
            <w:pPr>
              <w:pStyle w:val="TableParagraph"/>
              <w:spacing w:before="148" w:line="259" w:lineRule="auto"/>
              <w:ind w:left="181" w:right="77" w:firstLine="13"/>
              <w:jc w:val="both"/>
              <w:rPr>
                <w:b/>
              </w:rPr>
            </w:pPr>
            <w:r w:rsidRPr="00BC4E38">
              <w:rPr>
                <w:b/>
                <w:spacing w:val="-2"/>
              </w:rPr>
              <w:t>Amalga oshirish muddati</w:t>
            </w:r>
          </w:p>
        </w:tc>
        <w:tc>
          <w:tcPr>
            <w:tcW w:w="2416" w:type="dxa"/>
            <w:shd w:val="clear" w:color="auto" w:fill="DDEBF7"/>
          </w:tcPr>
          <w:p w:rsidR="001759C1" w:rsidRPr="00BC4E38" w:rsidRDefault="001759C1" w:rsidP="001759C1">
            <w:pPr>
              <w:pStyle w:val="TableParagraph"/>
              <w:spacing w:before="32"/>
              <w:rPr>
                <w:b/>
              </w:rPr>
            </w:pPr>
          </w:p>
          <w:p w:rsidR="001759C1" w:rsidRPr="00BC4E38" w:rsidRDefault="001759C1" w:rsidP="001759C1">
            <w:pPr>
              <w:pStyle w:val="TableParagraph"/>
              <w:spacing w:line="259" w:lineRule="auto"/>
              <w:ind w:left="1126" w:hanging="576"/>
              <w:rPr>
                <w:b/>
              </w:rPr>
            </w:pPr>
            <w:r w:rsidRPr="00BC4E38">
              <w:rPr>
                <w:b/>
              </w:rPr>
              <w:t>Loyihani</w:t>
            </w:r>
            <w:r w:rsidRPr="00BC4E38">
              <w:rPr>
                <w:b/>
                <w:spacing w:val="-14"/>
              </w:rPr>
              <w:t xml:space="preserve"> </w:t>
            </w:r>
            <w:r w:rsidRPr="00BC4E38">
              <w:rPr>
                <w:b/>
              </w:rPr>
              <w:t>ishlab</w:t>
            </w:r>
            <w:r w:rsidRPr="00BC4E38">
              <w:rPr>
                <w:b/>
                <w:spacing w:val="30"/>
              </w:rPr>
              <w:t xml:space="preserve"> </w:t>
            </w:r>
            <w:r w:rsidRPr="00BC4E38">
              <w:rPr>
                <w:b/>
              </w:rPr>
              <w:t>chiqish uchun asos</w:t>
            </w:r>
          </w:p>
        </w:tc>
      </w:tr>
      <w:tr w:rsidR="00946F45" w:rsidTr="005F7C4A">
        <w:trPr>
          <w:trHeight w:val="6072"/>
        </w:trPr>
        <w:tc>
          <w:tcPr>
            <w:tcW w:w="569" w:type="dxa"/>
          </w:tcPr>
          <w:p w:rsidR="00946F45" w:rsidRDefault="0084234D">
            <w:pPr>
              <w:pStyle w:val="TableParagraph"/>
              <w:spacing w:before="13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795" w:type="dxa"/>
          </w:tcPr>
          <w:p w:rsidR="00946F45" w:rsidRPr="005F7C4A" w:rsidRDefault="0084234D">
            <w:pPr>
              <w:pStyle w:val="TableParagraph"/>
              <w:spacing w:before="13" w:line="276" w:lineRule="auto"/>
              <w:ind w:left="233" w:right="190" w:hanging="33"/>
              <w:jc w:val="center"/>
              <w:rPr>
                <w:sz w:val="24"/>
              </w:rPr>
            </w:pPr>
            <w:r w:rsidRPr="005F7C4A">
              <w:rPr>
                <w:spacing w:val="-2"/>
                <w:sz w:val="24"/>
              </w:rPr>
              <w:t xml:space="preserve">O‘zbekiston </w:t>
            </w:r>
            <w:r w:rsidRPr="005F7C4A">
              <w:rPr>
                <w:sz w:val="24"/>
              </w:rPr>
              <w:t xml:space="preserve">Respublikasi hududini </w:t>
            </w:r>
            <w:r w:rsidRPr="005F7C4A">
              <w:rPr>
                <w:spacing w:val="-2"/>
                <w:sz w:val="24"/>
              </w:rPr>
              <w:t xml:space="preserve">muhandislik-geologik </w:t>
            </w:r>
            <w:r w:rsidRPr="005F7C4A">
              <w:rPr>
                <w:sz w:val="24"/>
              </w:rPr>
              <w:t>sharoitlar bo‘yicha rayonlashtirish</w:t>
            </w:r>
            <w:r w:rsidRPr="005F7C4A">
              <w:rPr>
                <w:spacing w:val="-6"/>
                <w:sz w:val="24"/>
              </w:rPr>
              <w:t xml:space="preserve"> </w:t>
            </w:r>
            <w:r w:rsidRPr="005F7C4A">
              <w:rPr>
                <w:sz w:val="24"/>
              </w:rPr>
              <w:t>hamda</w:t>
            </w:r>
          </w:p>
          <w:p w:rsidR="00946F45" w:rsidRPr="005F7C4A" w:rsidRDefault="0084234D">
            <w:pPr>
              <w:pStyle w:val="TableParagraph"/>
              <w:spacing w:line="273" w:lineRule="auto"/>
              <w:ind w:left="119" w:right="31"/>
              <w:jc w:val="center"/>
              <w:rPr>
                <w:sz w:val="24"/>
              </w:rPr>
            </w:pPr>
            <w:r w:rsidRPr="005F7C4A">
              <w:rPr>
                <w:sz w:val="24"/>
              </w:rPr>
              <w:t>har</w:t>
            </w:r>
            <w:r w:rsidRPr="005F7C4A">
              <w:rPr>
                <w:spacing w:val="-10"/>
                <w:sz w:val="24"/>
              </w:rPr>
              <w:t xml:space="preserve"> </w:t>
            </w:r>
            <w:r w:rsidRPr="005F7C4A">
              <w:rPr>
                <w:sz w:val="24"/>
              </w:rPr>
              <w:t>bir</w:t>
            </w:r>
            <w:r w:rsidRPr="005F7C4A">
              <w:rPr>
                <w:spacing w:val="-10"/>
                <w:sz w:val="24"/>
              </w:rPr>
              <w:t xml:space="preserve"> </w:t>
            </w:r>
            <w:r w:rsidRPr="005F7C4A">
              <w:rPr>
                <w:sz w:val="24"/>
              </w:rPr>
              <w:t>rayon</w:t>
            </w:r>
            <w:r w:rsidRPr="005F7C4A">
              <w:rPr>
                <w:spacing w:val="-11"/>
                <w:sz w:val="24"/>
              </w:rPr>
              <w:t xml:space="preserve"> </w:t>
            </w:r>
            <w:r w:rsidRPr="005F7C4A">
              <w:rPr>
                <w:sz w:val="24"/>
              </w:rPr>
              <w:t>uchun</w:t>
            </w:r>
            <w:r w:rsidRPr="005F7C4A">
              <w:rPr>
                <w:spacing w:val="-10"/>
                <w:sz w:val="24"/>
              </w:rPr>
              <w:t xml:space="preserve"> </w:t>
            </w:r>
            <w:r w:rsidRPr="005F7C4A">
              <w:rPr>
                <w:sz w:val="24"/>
              </w:rPr>
              <w:t>mos geotexnik tavsiyalar ishlab chiqish</w:t>
            </w:r>
            <w:r w:rsidR="004E4629">
              <w:rPr>
                <w:sz w:val="24"/>
              </w:rPr>
              <w:t>.</w:t>
            </w: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spacing w:before="152"/>
              <w:rPr>
                <w:b/>
                <w:sz w:val="20"/>
              </w:rPr>
            </w:pPr>
          </w:p>
          <w:p w:rsidR="00946F45" w:rsidRDefault="0084234D">
            <w:pPr>
              <w:pStyle w:val="TableParagraph"/>
              <w:ind w:left="166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48212" cy="106984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212" cy="1069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spacing w:before="81"/>
              <w:rPr>
                <w:b/>
                <w:sz w:val="20"/>
              </w:rPr>
            </w:pPr>
          </w:p>
        </w:tc>
        <w:tc>
          <w:tcPr>
            <w:tcW w:w="7122" w:type="dxa"/>
          </w:tcPr>
          <w:p w:rsidR="00946F45" w:rsidRPr="005F7C4A" w:rsidRDefault="0084234D" w:rsidP="005F7C4A">
            <w:pPr>
              <w:pStyle w:val="TableParagraph"/>
              <w:spacing w:before="13" w:line="271" w:lineRule="auto"/>
              <w:ind w:left="518" w:right="2825" w:hanging="58"/>
              <w:jc w:val="both"/>
              <w:rPr>
                <w:b/>
                <w:sz w:val="24"/>
              </w:rPr>
            </w:pPr>
            <w:r w:rsidRPr="00FE0252">
              <w:rPr>
                <w:rFonts w:ascii="Cambria" w:eastAsia="Calibri" w:hAnsi="Cambria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Amaliy</w:t>
            </w:r>
            <w:r>
              <w:rPr>
                <w:spacing w:val="-12"/>
                <w:sz w:val="24"/>
              </w:rPr>
              <w:t xml:space="preserve"> </w:t>
            </w:r>
          </w:p>
          <w:p w:rsidR="00946F45" w:rsidRPr="00FE0252" w:rsidRDefault="00FE0252" w:rsidP="00FE0252">
            <w:pPr>
              <w:pStyle w:val="a5"/>
              <w:ind w:firstLine="544"/>
              <w:jc w:val="both"/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</w:pPr>
            <w:r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p w:rsidR="00946F45" w:rsidRPr="00DC55A2" w:rsidRDefault="0084234D" w:rsidP="007217D0">
            <w:pPr>
              <w:pStyle w:val="TableParagraph"/>
              <w:spacing w:line="259" w:lineRule="auto"/>
              <w:ind w:left="32" w:right="96" w:firstLine="425"/>
              <w:jc w:val="both"/>
              <w:rPr>
                <w:rFonts w:asciiTheme="majorHAnsi" w:hAnsiTheme="majorHAnsi"/>
                <w:spacing w:val="-2"/>
                <w:w w:val="105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w w:val="105"/>
                <w:sz w:val="26"/>
                <w:szCs w:val="26"/>
              </w:rPr>
              <w:t xml:space="preserve">– O‘zbekiston hududini muhandislik – geologik sharoitlar asosida ilmiy asoslangan rayonlashtirish metodikasi ishlab </w:t>
            </w:r>
            <w:r w:rsidRPr="00DC55A2">
              <w:rPr>
                <w:rFonts w:asciiTheme="majorHAnsi" w:hAnsiTheme="majorHAnsi"/>
                <w:spacing w:val="-2"/>
                <w:w w:val="105"/>
                <w:sz w:val="26"/>
                <w:szCs w:val="26"/>
              </w:rPr>
              <w:t>chiqiladi;</w:t>
            </w:r>
          </w:p>
          <w:p w:rsidR="00D04143" w:rsidRPr="00DC55A2" w:rsidRDefault="00D04143" w:rsidP="007217D0">
            <w:pPr>
              <w:pStyle w:val="TableParagraph"/>
              <w:numPr>
                <w:ilvl w:val="0"/>
                <w:numId w:val="5"/>
              </w:numPr>
              <w:spacing w:line="259" w:lineRule="auto"/>
              <w:ind w:left="32" w:right="96" w:firstLine="425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sz w:val="26"/>
                <w:szCs w:val="26"/>
              </w:rPr>
              <w:t xml:space="preserve">turli geologik va gidrogeologik sharoitlar uchun qurilishda qo‘llaniladigan geotexnik yechimlar tizimlashtiriladi; </w:t>
            </w:r>
          </w:p>
          <w:p w:rsidR="007217D0" w:rsidRPr="00DC55A2" w:rsidRDefault="00D04143" w:rsidP="007217D0">
            <w:pPr>
              <w:pStyle w:val="TableParagraph"/>
              <w:spacing w:line="259" w:lineRule="auto"/>
              <w:ind w:left="32" w:right="96" w:firstLine="425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sz w:val="26"/>
                <w:szCs w:val="26"/>
              </w:rPr>
              <w:t xml:space="preserve">− geotexnik tahlillar asosida axborot bazasi yaratiladi hamda loyihalash va qurilish jarayonlarida foydalanish uchun metodik tavsiyalar ishlab chiqiladi; </w:t>
            </w:r>
          </w:p>
          <w:p w:rsidR="00D04143" w:rsidRPr="00DC55A2" w:rsidRDefault="00D04143" w:rsidP="007217D0">
            <w:pPr>
              <w:pStyle w:val="TableParagraph"/>
              <w:spacing w:line="259" w:lineRule="auto"/>
              <w:ind w:left="32" w:right="96" w:firstLine="425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sz w:val="26"/>
                <w:szCs w:val="26"/>
              </w:rPr>
              <w:t>− olingan natijalar normativ huquqiy bazani takomillashtirish, shuningdek amaldagi shaharsozlik normalari va qoidalariga o‘zgartirish va qo‘shimchalar kiritish bo‘yicha takliflar tayyorlash uchun asos bo‘ladi.</w:t>
            </w:r>
          </w:p>
          <w:p w:rsidR="00FE0252" w:rsidRDefault="00FE0252" w:rsidP="00FE0252">
            <w:pPr>
              <w:pStyle w:val="a5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Cyrl-UZ"/>
              </w:rPr>
            </w:pPr>
            <w:r w:rsidRPr="00DC55A2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DC55A2">
              <w:rPr>
                <w:rFonts w:ascii="Cambria" w:hAnsi="Cambria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="00EC1364" w:rsidRPr="00DC55A2">
              <w:rPr>
                <w:rFonts w:ascii="Cambria" w:hAnsi="Cambria"/>
                <w:bCs/>
                <w:noProof/>
                <w:sz w:val="26"/>
                <w:szCs w:val="26"/>
                <w:lang w:val="uz-Cyrl-UZ"/>
              </w:rPr>
              <w:t>Favqulodda vaziyatlar vazirligi</w:t>
            </w:r>
            <w:r w:rsidRPr="00DC55A2">
              <w:rPr>
                <w:rFonts w:ascii="Cambria" w:hAnsi="Cambria"/>
                <w:bCs/>
                <w:noProof/>
                <w:sz w:val="26"/>
                <w:szCs w:val="26"/>
                <w:lang w:val="uz-Cyrl-UZ"/>
              </w:rPr>
              <w:t xml:space="preserve"> hamda ilmiy-tadqiqot institutlarida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4C569A" w:rsidRPr="004C569A">
              <w:rPr>
                <w:rFonts w:ascii="Cambria" w:hAnsi="Cambria"/>
                <w:b/>
                <w:noProof/>
                <w:sz w:val="26"/>
                <w:szCs w:val="26"/>
                <w:lang w:val="uz-Cyrl-UZ"/>
              </w:rPr>
              <w:t>Qurilish va uy-joy kommunal xoʻjaligi vazirligi</w:t>
            </w:r>
            <w:bookmarkStart w:id="0" w:name="_GoBack"/>
            <w:bookmarkEnd w:id="0"/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DC55A2" w:rsidRPr="00DC55A2" w:rsidRDefault="00DC55A2" w:rsidP="00FE0252">
            <w:pPr>
              <w:pStyle w:val="a5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Cyrl-UZ"/>
              </w:rPr>
            </w:pPr>
          </w:p>
          <w:p w:rsidR="00FE0252" w:rsidRPr="00DC55A2" w:rsidRDefault="00FE0252" w:rsidP="00FE0252">
            <w:pPr>
              <w:pStyle w:val="a5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Latn-UZ"/>
              </w:rPr>
            </w:pPr>
            <w:r w:rsidRPr="00DC55A2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lastRenderedPageBreak/>
              <w:t>Ilmiy natijalarni chop etish</w:t>
            </w:r>
            <w:r w:rsidRPr="00DC55A2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DC55A2">
              <w:rPr>
                <w:rFonts w:ascii="Cambria" w:hAnsi="Cambria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en-US"/>
              </w:rPr>
              <w:t xml:space="preserve"> 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Tadqiqot natijalar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en-US"/>
              </w:rPr>
              <w:t>i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DC55A2">
              <w:rPr>
                <w:rFonts w:ascii="Cambria" w:hAnsi="Cambria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 w:rsidR="00DC55A2">
              <w:rPr>
                <w:rFonts w:ascii="Cambria" w:hAnsi="Cambria"/>
                <w:noProof/>
                <w:sz w:val="26"/>
                <w:szCs w:val="26"/>
                <w:lang w:val="uz-Latn-UZ"/>
              </w:rPr>
              <w:t>.</w:t>
            </w:r>
          </w:p>
          <w:p w:rsidR="00FE0252" w:rsidRDefault="00FE0252" w:rsidP="00FE0252">
            <w:pPr>
              <w:pStyle w:val="TableParagraph"/>
              <w:spacing w:line="259" w:lineRule="auto"/>
              <w:ind w:left="32" w:right="96" w:firstLine="425"/>
              <w:jc w:val="both"/>
              <w:rPr>
                <w:sz w:val="24"/>
              </w:rPr>
            </w:pPr>
            <w:r w:rsidRPr="00DC55A2">
              <w:rPr>
                <w:rFonts w:ascii="Cambria" w:hAnsi="Cambria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="004C569A" w:rsidRPr="004C569A">
              <w:rPr>
                <w:rFonts w:ascii="Cambria" w:hAnsi="Cambria"/>
                <w:b/>
                <w:noProof/>
                <w:sz w:val="26"/>
                <w:szCs w:val="26"/>
                <w:lang w:val="uz-Cyrl-UZ"/>
              </w:rPr>
              <w:t>Qurilish va uy-joy kommunal xoʻjaligi vazirligi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ning qoʻllab-quvvatlash xati mavjud boʻlganida qabul qilinadi.</w:t>
            </w:r>
          </w:p>
        </w:tc>
        <w:tc>
          <w:tcPr>
            <w:tcW w:w="1417" w:type="dxa"/>
          </w:tcPr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946F45" w:rsidRDefault="0084234D">
            <w:pPr>
              <w:pStyle w:val="TableParagraph"/>
              <w:spacing w:before="1"/>
              <w:ind w:left="437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5"/>
                <w:sz w:val="24"/>
              </w:rPr>
              <w:t>520</w:t>
            </w:r>
          </w:p>
        </w:tc>
        <w:tc>
          <w:tcPr>
            <w:tcW w:w="1134" w:type="dxa"/>
          </w:tcPr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spacing w:before="133"/>
              <w:rPr>
                <w:b/>
                <w:sz w:val="24"/>
              </w:rPr>
            </w:pPr>
          </w:p>
          <w:p w:rsidR="00946F45" w:rsidRDefault="0084234D">
            <w:pPr>
              <w:pStyle w:val="TableParagraph"/>
              <w:spacing w:before="1"/>
              <w:ind w:left="3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yil</w:t>
            </w:r>
          </w:p>
        </w:tc>
        <w:tc>
          <w:tcPr>
            <w:tcW w:w="2416" w:type="dxa"/>
          </w:tcPr>
          <w:p w:rsidR="00946F45" w:rsidRDefault="0084234D" w:rsidP="005F7C4A">
            <w:pPr>
              <w:pStyle w:val="TableParagraph"/>
              <w:tabs>
                <w:tab w:val="left" w:pos="1181"/>
                <w:tab w:val="left" w:pos="1627"/>
                <w:tab w:val="left" w:pos="1724"/>
                <w:tab w:val="left" w:pos="2041"/>
                <w:tab w:val="left" w:pos="2253"/>
                <w:tab w:val="left" w:pos="2399"/>
                <w:tab w:val="left" w:pos="2892"/>
              </w:tabs>
              <w:spacing w:before="13" w:line="276" w:lineRule="auto"/>
              <w:ind w:left="109" w:right="90" w:hanging="114"/>
              <w:jc w:val="center"/>
              <w:rPr>
                <w:sz w:val="24"/>
              </w:rPr>
            </w:pPr>
            <w:r>
              <w:rPr>
                <w:sz w:val="24"/>
              </w:rPr>
              <w:t>O‘zbekiston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Respublikasi Prezidentining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yil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17 apreldagi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RQ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161-son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“bino </w:t>
            </w:r>
            <w:r>
              <w:rPr>
                <w:spacing w:val="-6"/>
                <w:sz w:val="24"/>
              </w:rPr>
              <w:t>va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inshootlarning zilzilabardoshligini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oshirish hamda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seysmik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xavfni </w:t>
            </w:r>
            <w:r>
              <w:rPr>
                <w:sz w:val="24"/>
              </w:rPr>
              <w:t>monitoring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qilish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faoliyatini </w:t>
            </w:r>
            <w:r>
              <w:rPr>
                <w:spacing w:val="-2"/>
                <w:sz w:val="24"/>
              </w:rPr>
              <w:t>takomillashtirish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chora</w:t>
            </w:r>
            <w:r>
              <w:rPr>
                <w:sz w:val="24"/>
              </w:rPr>
              <w:tab/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– </w:t>
            </w:r>
            <w:r>
              <w:rPr>
                <w:sz w:val="24"/>
              </w:rPr>
              <w:t>tadbirlari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to‘g‘risida”gi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qarori. O‘zbekiston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Respublikasi </w:t>
            </w:r>
            <w:r>
              <w:rPr>
                <w:spacing w:val="-2"/>
                <w:sz w:val="24"/>
              </w:rPr>
              <w:t>Prezidentining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2020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z w:val="24"/>
              </w:rPr>
              <w:t>yil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</w:p>
          <w:p w:rsidR="00946F45" w:rsidRDefault="0084234D" w:rsidP="005F7C4A">
            <w:pPr>
              <w:pStyle w:val="TableParagraph"/>
              <w:spacing w:line="266" w:lineRule="exact"/>
              <w:ind w:left="109" w:hanging="114"/>
              <w:jc w:val="center"/>
              <w:rPr>
                <w:sz w:val="24"/>
              </w:rPr>
            </w:pPr>
            <w:r>
              <w:rPr>
                <w:sz w:val="24"/>
              </w:rPr>
              <w:t>martdagi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PQ-133-son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qarori</w:t>
            </w:r>
          </w:p>
          <w:p w:rsidR="00946F45" w:rsidRDefault="0084234D" w:rsidP="005F7C4A">
            <w:pPr>
              <w:pStyle w:val="TableParagraph"/>
              <w:spacing w:before="41" w:line="259" w:lineRule="auto"/>
              <w:ind w:left="109" w:right="91" w:hanging="114"/>
              <w:jc w:val="center"/>
              <w:rPr>
                <w:sz w:val="24"/>
              </w:rPr>
            </w:pPr>
            <w:r>
              <w:rPr>
                <w:sz w:val="24"/>
              </w:rPr>
              <w:t>“Ilmiy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tadqiqot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innovatsion faoliyatni rivojlantirishning normativ huquqiy bazasini yanada takomillashtirish choratadbirlari to‘g‘risida” gi</w:t>
            </w:r>
          </w:p>
        </w:tc>
      </w:tr>
    </w:tbl>
    <w:p w:rsidR="00946F45" w:rsidRDefault="00946F45">
      <w:pPr>
        <w:pStyle w:val="TableParagraph"/>
        <w:spacing w:line="259" w:lineRule="auto"/>
        <w:jc w:val="both"/>
        <w:rPr>
          <w:sz w:val="24"/>
        </w:rPr>
        <w:sectPr w:rsidR="00946F45">
          <w:type w:val="continuous"/>
          <w:pgSz w:w="16840" w:h="11910" w:orient="landscape"/>
          <w:pgMar w:top="1120" w:right="566" w:bottom="1160" w:left="566" w:header="0" w:footer="932" w:gutter="0"/>
          <w:cols w:space="720"/>
        </w:sectPr>
      </w:pPr>
    </w:p>
    <w:p w:rsidR="00946F45" w:rsidRDefault="00946F45">
      <w:pPr>
        <w:pStyle w:val="TableParagraph"/>
        <w:sectPr w:rsidR="00946F45">
          <w:type w:val="continuous"/>
          <w:pgSz w:w="16840" w:h="11910" w:orient="landscape"/>
          <w:pgMar w:top="1120" w:right="566" w:bottom="1160" w:left="566" w:header="0" w:footer="932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795"/>
        <w:gridCol w:w="6562"/>
        <w:gridCol w:w="1418"/>
        <w:gridCol w:w="991"/>
        <w:gridCol w:w="3118"/>
      </w:tblGrid>
      <w:tr w:rsidR="00946F45" w:rsidTr="0082327A">
        <w:trPr>
          <w:trHeight w:val="5943"/>
        </w:trPr>
        <w:tc>
          <w:tcPr>
            <w:tcW w:w="569" w:type="dxa"/>
          </w:tcPr>
          <w:p w:rsidR="00946F45" w:rsidRDefault="0084234D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lastRenderedPageBreak/>
              <w:t>4</w:t>
            </w:r>
          </w:p>
        </w:tc>
        <w:tc>
          <w:tcPr>
            <w:tcW w:w="2795" w:type="dxa"/>
          </w:tcPr>
          <w:p w:rsidR="00946F45" w:rsidRPr="00DC55A2" w:rsidRDefault="0084234D">
            <w:pPr>
              <w:pStyle w:val="TableParagraph"/>
              <w:spacing w:before="12" w:line="276" w:lineRule="auto"/>
              <w:ind w:left="119" w:right="49"/>
              <w:jc w:val="center"/>
              <w:rPr>
                <w:sz w:val="26"/>
                <w:szCs w:val="26"/>
              </w:rPr>
            </w:pPr>
            <w:r w:rsidRPr="00DC55A2">
              <w:rPr>
                <w:sz w:val="26"/>
                <w:szCs w:val="26"/>
              </w:rPr>
              <w:t>Bir</w:t>
            </w:r>
            <w:r w:rsidRPr="00DC55A2">
              <w:rPr>
                <w:spacing w:val="-13"/>
                <w:sz w:val="26"/>
                <w:szCs w:val="26"/>
              </w:rPr>
              <w:t xml:space="preserve"> </w:t>
            </w:r>
            <w:r w:rsidRPr="00DC55A2">
              <w:rPr>
                <w:sz w:val="26"/>
                <w:szCs w:val="26"/>
              </w:rPr>
              <w:t>jinsli</w:t>
            </w:r>
            <w:r w:rsidRPr="00DC55A2">
              <w:rPr>
                <w:spacing w:val="-13"/>
                <w:sz w:val="26"/>
                <w:szCs w:val="26"/>
              </w:rPr>
              <w:t xml:space="preserve"> </w:t>
            </w:r>
            <w:r w:rsidRPr="00DC55A2">
              <w:rPr>
                <w:sz w:val="26"/>
                <w:szCs w:val="26"/>
              </w:rPr>
              <w:t>bo‘lmagan</w:t>
            </w:r>
            <w:r w:rsidRPr="00DC55A2">
              <w:rPr>
                <w:spacing w:val="-14"/>
                <w:sz w:val="26"/>
                <w:szCs w:val="26"/>
              </w:rPr>
              <w:t xml:space="preserve"> </w:t>
            </w:r>
            <w:r w:rsidRPr="00DC55A2">
              <w:rPr>
                <w:sz w:val="26"/>
                <w:szCs w:val="26"/>
              </w:rPr>
              <w:t>ko‘p qatlamli zaminda joylashgan poydevor inshootlariga seysmik</w:t>
            </w:r>
          </w:p>
          <w:p w:rsidR="00946F45" w:rsidRPr="00DC55A2" w:rsidRDefault="0084234D">
            <w:pPr>
              <w:pStyle w:val="TableParagraph"/>
              <w:spacing w:line="276" w:lineRule="auto"/>
              <w:ind w:left="165" w:right="96"/>
              <w:jc w:val="center"/>
              <w:rPr>
                <w:sz w:val="26"/>
                <w:szCs w:val="26"/>
              </w:rPr>
            </w:pPr>
            <w:r w:rsidRPr="00DC55A2">
              <w:rPr>
                <w:sz w:val="26"/>
                <w:szCs w:val="26"/>
              </w:rPr>
              <w:t>kuchlar</w:t>
            </w:r>
            <w:r w:rsidRPr="00DC55A2">
              <w:rPr>
                <w:spacing w:val="-15"/>
                <w:sz w:val="26"/>
                <w:szCs w:val="26"/>
              </w:rPr>
              <w:t xml:space="preserve"> </w:t>
            </w:r>
            <w:r w:rsidRPr="00DC55A2">
              <w:rPr>
                <w:sz w:val="26"/>
                <w:szCs w:val="26"/>
              </w:rPr>
              <w:t xml:space="preserve">ta’sirini </w:t>
            </w:r>
            <w:r w:rsidRPr="00DC55A2">
              <w:rPr>
                <w:spacing w:val="-2"/>
                <w:sz w:val="26"/>
                <w:szCs w:val="26"/>
              </w:rPr>
              <w:t>baholash</w:t>
            </w: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spacing w:before="158" w:after="1"/>
              <w:rPr>
                <w:b/>
                <w:sz w:val="20"/>
              </w:rPr>
            </w:pPr>
          </w:p>
          <w:p w:rsidR="00946F45" w:rsidRDefault="0084234D">
            <w:pPr>
              <w:pStyle w:val="TableParagraph"/>
              <w:ind w:left="18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19875" cy="107441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75" cy="1074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rPr>
                <w:b/>
                <w:sz w:val="20"/>
              </w:rPr>
            </w:pPr>
          </w:p>
          <w:p w:rsidR="00946F45" w:rsidRDefault="00946F45">
            <w:pPr>
              <w:pStyle w:val="TableParagraph"/>
              <w:spacing w:before="16"/>
              <w:rPr>
                <w:b/>
                <w:sz w:val="20"/>
              </w:rPr>
            </w:pPr>
          </w:p>
        </w:tc>
        <w:tc>
          <w:tcPr>
            <w:tcW w:w="6562" w:type="dxa"/>
          </w:tcPr>
          <w:p w:rsidR="00946F45" w:rsidRDefault="0084234D" w:rsidP="00D04143">
            <w:pPr>
              <w:pStyle w:val="TableParagraph"/>
              <w:spacing w:before="12" w:line="276" w:lineRule="auto"/>
              <w:ind w:left="519" w:right="2825" w:hanging="59"/>
              <w:jc w:val="both"/>
              <w:rPr>
                <w:sz w:val="24"/>
              </w:rPr>
            </w:pPr>
            <w:r w:rsidRPr="00FE0252">
              <w:rPr>
                <w:rFonts w:ascii="Cambria" w:eastAsia="Calibri" w:hAnsi="Cambria"/>
                <w:b/>
                <w:noProof/>
                <w:color w:val="002060"/>
                <w:sz w:val="26"/>
                <w:szCs w:val="26"/>
                <w:lang w:val="uz-Cyrl-UZ"/>
              </w:rPr>
              <w:t>Tadqiqot shakli: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Amaliy</w:t>
            </w:r>
          </w:p>
          <w:p w:rsidR="00946F45" w:rsidRPr="00FE0252" w:rsidRDefault="00FE0252" w:rsidP="00FE0252">
            <w:pPr>
              <w:pStyle w:val="a5"/>
              <w:ind w:firstLine="544"/>
              <w:jc w:val="both"/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</w:pPr>
            <w:r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Ilmiy tadqiqot natijalari:</w:t>
            </w:r>
          </w:p>
          <w:p w:rsidR="00D04143" w:rsidRPr="00DC55A2" w:rsidRDefault="0084234D" w:rsidP="00D04143">
            <w:pPr>
              <w:pStyle w:val="TableParagraph"/>
              <w:spacing w:before="84" w:line="300" w:lineRule="atLeast"/>
              <w:ind w:left="182" w:right="36" w:firstLine="282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w w:val="105"/>
                <w:sz w:val="26"/>
                <w:szCs w:val="26"/>
              </w:rPr>
              <w:t xml:space="preserve">– bir jinsli bo‘lmagan ko‘p qatlamli zaminda joylashgan </w:t>
            </w:r>
            <w:r w:rsidRPr="00DC55A2">
              <w:rPr>
                <w:rFonts w:asciiTheme="majorHAnsi" w:hAnsiTheme="majorHAnsi"/>
                <w:sz w:val="26"/>
                <w:szCs w:val="26"/>
              </w:rPr>
              <w:t>poydevor inshootlarining seysmik ta’sirlardagi dinamik xatti-</w:t>
            </w:r>
            <w:r w:rsidR="00D04143" w:rsidRPr="00DC55A2">
              <w:rPr>
                <w:rFonts w:asciiTheme="majorHAnsi" w:hAnsiTheme="majorHAnsi"/>
                <w:sz w:val="26"/>
                <w:szCs w:val="26"/>
              </w:rPr>
              <w:t>harakatini baholash uchun zamin–poydevor o‘zaro ta’sirini hisobga olgan takomillashtirilgan fazoviy hisoblash modeli va metodikasi ishlab chiqiladi.</w:t>
            </w:r>
          </w:p>
          <w:p w:rsidR="00D04143" w:rsidRPr="00DC55A2" w:rsidRDefault="00D04143" w:rsidP="00D04143">
            <w:pPr>
              <w:pStyle w:val="TableParagraph"/>
              <w:numPr>
                <w:ilvl w:val="0"/>
                <w:numId w:val="2"/>
              </w:numPr>
              <w:tabs>
                <w:tab w:val="left" w:pos="791"/>
              </w:tabs>
              <w:spacing w:before="48" w:line="288" w:lineRule="auto"/>
              <w:ind w:right="97" w:firstLine="282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sz w:val="26"/>
                <w:szCs w:val="26"/>
              </w:rPr>
              <w:t>zamin qatlamlarining chuqurlik bo‘yicha o‘zgaruvchan fizik-mexanik xossalarini inobatga olgan holda poydevor inshootlarida ko‘chishlar, deformatsiyalar va ichki kuchlanishlarning taqsimlanish qonuniyatlari aniqlanadi hamda me’yoriy hisoblashlarda qo‘llanilayotgan ekvivalent zamin yondashuvining qo‘llanish chegaralari ilmiy jihatdan asoslanadi;</w:t>
            </w:r>
          </w:p>
          <w:p w:rsidR="00D04143" w:rsidRPr="00DC55A2" w:rsidRDefault="00D04143" w:rsidP="00D04143">
            <w:pPr>
              <w:pStyle w:val="TableParagraph"/>
              <w:numPr>
                <w:ilvl w:val="0"/>
                <w:numId w:val="2"/>
              </w:numPr>
              <w:tabs>
                <w:tab w:val="left" w:pos="776"/>
              </w:tabs>
              <w:spacing w:before="2" w:line="290" w:lineRule="auto"/>
              <w:ind w:right="98" w:firstLine="282"/>
              <w:jc w:val="both"/>
              <w:rPr>
                <w:rFonts w:asciiTheme="majorHAnsi" w:hAnsiTheme="majorHAnsi"/>
                <w:sz w:val="26"/>
                <w:szCs w:val="26"/>
              </w:rPr>
            </w:pPr>
            <w:r w:rsidRPr="00DC55A2">
              <w:rPr>
                <w:rFonts w:asciiTheme="majorHAnsi" w:hAnsiTheme="majorHAnsi"/>
                <w:sz w:val="26"/>
                <w:szCs w:val="26"/>
              </w:rPr>
              <w:t>olingan natijalar asosida seysmik hududlarda poydevor inshootlarini loyihalash va hisoblash amaliyoti uchun amaliy tavsiyalar ishlab chiqiladi hamda texnik me’yorlash va standartlashtirish sohasida qo‘llash uchun takliflar tayyorlanadi.</w:t>
            </w:r>
          </w:p>
          <w:p w:rsidR="00DC55A2" w:rsidRPr="00DC55A2" w:rsidRDefault="00DC55A2" w:rsidP="00DC55A2">
            <w:pPr>
              <w:pStyle w:val="a5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Cyrl-UZ"/>
              </w:rPr>
            </w:pPr>
            <w:r w:rsidRPr="00DC55A2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t>Natijalarni sinovdan oʻtkazish.</w:t>
            </w:r>
            <w:r w:rsidRPr="00DC55A2">
              <w:rPr>
                <w:rFonts w:ascii="Cambria" w:hAnsi="Cambria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Olingan natijalar </w:t>
            </w:r>
            <w:r w:rsidRPr="00DC55A2">
              <w:rPr>
                <w:rFonts w:ascii="Cambria" w:hAnsi="Cambria"/>
                <w:bCs/>
                <w:noProof/>
                <w:sz w:val="26"/>
                <w:szCs w:val="26"/>
                <w:lang w:val="uz-Cyrl-UZ"/>
              </w:rPr>
              <w:t>Favqulodda vaziyatlar vazirligi hamda ilmiy-tadqiqot institutlarida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sinovdan oʻtkaziladi va ularning amaliyotda foydalanish uchun qabul qilinganligi toʻgʻrisida </w:t>
            </w:r>
            <w:r w:rsidR="00E56387" w:rsidRPr="00E56387">
              <w:rPr>
                <w:rFonts w:ascii="Cambria" w:hAnsi="Cambria"/>
                <w:b/>
                <w:noProof/>
                <w:sz w:val="26"/>
                <w:szCs w:val="26"/>
                <w:lang w:val="uz-Cyrl-UZ"/>
              </w:rPr>
              <w:t>Qurilish va uy-joy kommunal xoʻjaligi vazirligi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ning xulosasi olinadi.</w:t>
            </w:r>
          </w:p>
          <w:p w:rsidR="00DC55A2" w:rsidRPr="00DC55A2" w:rsidRDefault="00DC55A2" w:rsidP="00DC55A2">
            <w:pPr>
              <w:pStyle w:val="a5"/>
              <w:ind w:firstLine="544"/>
              <w:jc w:val="both"/>
              <w:rPr>
                <w:rFonts w:ascii="Cambria" w:hAnsi="Cambria"/>
                <w:noProof/>
                <w:sz w:val="26"/>
                <w:szCs w:val="26"/>
                <w:lang w:val="uz-Latn-UZ"/>
              </w:rPr>
            </w:pPr>
            <w:r w:rsidRPr="00DC55A2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uz-Cyrl-UZ"/>
              </w:rPr>
              <w:lastRenderedPageBreak/>
              <w:t>Ilmiy natijalarni chop etish</w:t>
            </w:r>
            <w:r w:rsidRPr="00DC55A2">
              <w:rPr>
                <w:rFonts w:ascii="Cambria" w:hAnsi="Cambria"/>
                <w:b/>
                <w:noProof/>
                <w:color w:val="002060"/>
                <w:sz w:val="26"/>
                <w:szCs w:val="26"/>
                <w:lang w:val="en-US"/>
              </w:rPr>
              <w:t>.</w:t>
            </w:r>
            <w:r w:rsidRPr="00DC55A2">
              <w:rPr>
                <w:rFonts w:ascii="Cambria" w:hAnsi="Cambria"/>
                <w:noProof/>
                <w:color w:val="002060"/>
                <w:sz w:val="26"/>
                <w:szCs w:val="26"/>
                <w:lang w:val="uz-Cyrl-UZ"/>
              </w:rPr>
              <w:t xml:space="preserve"> 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Olingan tadqiqot natijalari intellektual mulk obyektlari uchun hujjatlar tayyorlanadi.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en-US"/>
              </w:rPr>
              <w:t xml:space="preserve"> 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Tadqiqot natijalar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en-US"/>
              </w:rPr>
              <w:t>i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asosida tavsiyanomalar, oʻquv qoʻllanmalar, hamda nufuzli jurnallarda va </w:t>
            </w:r>
            <w:r w:rsidRPr="00DC55A2">
              <w:rPr>
                <w:rFonts w:ascii="Cambria" w:hAnsi="Cambria"/>
                <w:i/>
                <w:iCs/>
                <w:noProof/>
                <w:sz w:val="26"/>
                <w:szCs w:val="26"/>
                <w:lang w:val="uz-Cyrl-UZ"/>
              </w:rPr>
              <w:t>Web of Science/Scopus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maʼlumotlar bazasida indeksatsiyalangan jurnallarda maqolalar chop etiladi</w:t>
            </w:r>
            <w:r>
              <w:rPr>
                <w:rFonts w:ascii="Cambria" w:hAnsi="Cambria"/>
                <w:noProof/>
                <w:sz w:val="26"/>
                <w:szCs w:val="26"/>
                <w:lang w:val="uz-Latn-UZ"/>
              </w:rPr>
              <w:t>.</w:t>
            </w:r>
          </w:p>
          <w:p w:rsidR="00D04143" w:rsidRDefault="00DC55A2" w:rsidP="00DC55A2">
            <w:pPr>
              <w:pStyle w:val="TableParagraph"/>
              <w:spacing w:before="84" w:line="300" w:lineRule="atLeast"/>
              <w:ind w:left="182" w:right="36" w:firstLine="282"/>
              <w:jc w:val="both"/>
              <w:rPr>
                <w:sz w:val="24"/>
              </w:rPr>
            </w:pPr>
            <w:r w:rsidRPr="00DC55A2">
              <w:rPr>
                <w:rFonts w:ascii="Cambria" w:hAnsi="Cambria"/>
                <w:b/>
                <w:bCs/>
                <w:noProof/>
                <w:color w:val="002060"/>
                <w:sz w:val="26"/>
                <w:szCs w:val="26"/>
                <w:lang w:val="uz-Cyrl-UZ"/>
              </w:rPr>
              <w:t>Izoh.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 xml:space="preserve"> Ushbu mavzuga taqdim etiladigan ilmiy loyihalar </w:t>
            </w:r>
            <w:r w:rsidR="004C569A" w:rsidRPr="004C569A">
              <w:rPr>
                <w:rFonts w:ascii="Cambria" w:hAnsi="Cambria"/>
                <w:b/>
                <w:noProof/>
                <w:sz w:val="26"/>
                <w:szCs w:val="26"/>
                <w:lang w:val="uz-Cyrl-UZ"/>
              </w:rPr>
              <w:t>Qurilish va uy-joy kommunal xoʻjaligi vazirligi</w:t>
            </w:r>
            <w:r w:rsidRPr="00DC55A2">
              <w:rPr>
                <w:rFonts w:ascii="Cambria" w:hAnsi="Cambria"/>
                <w:noProof/>
                <w:sz w:val="26"/>
                <w:szCs w:val="26"/>
                <w:lang w:val="uz-Cyrl-UZ"/>
              </w:rPr>
              <w:t>ning qoʻllab-quvvatlash xati mavjud boʻlganida qabul qilinadi.</w:t>
            </w:r>
          </w:p>
        </w:tc>
        <w:tc>
          <w:tcPr>
            <w:tcW w:w="1418" w:type="dxa"/>
          </w:tcPr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946F45" w:rsidRDefault="0084234D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4"/>
                <w:sz w:val="24"/>
              </w:rPr>
              <w:t>1400</w:t>
            </w:r>
          </w:p>
        </w:tc>
        <w:tc>
          <w:tcPr>
            <w:tcW w:w="991" w:type="dxa"/>
          </w:tcPr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rPr>
                <w:b/>
                <w:sz w:val="24"/>
              </w:rPr>
            </w:pPr>
          </w:p>
          <w:p w:rsidR="00946F45" w:rsidRDefault="00946F45">
            <w:pPr>
              <w:pStyle w:val="TableParagraph"/>
              <w:spacing w:before="25"/>
              <w:rPr>
                <w:b/>
                <w:sz w:val="24"/>
              </w:rPr>
            </w:pPr>
          </w:p>
          <w:p w:rsidR="00946F45" w:rsidRDefault="0084234D"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>yil</w:t>
            </w:r>
          </w:p>
        </w:tc>
        <w:tc>
          <w:tcPr>
            <w:tcW w:w="3118" w:type="dxa"/>
          </w:tcPr>
          <w:p w:rsidR="00946F45" w:rsidRDefault="00946F45">
            <w:pPr>
              <w:pStyle w:val="TableParagraph"/>
              <w:spacing w:before="2" w:line="283" w:lineRule="auto"/>
              <w:ind w:left="108" w:right="34"/>
              <w:jc w:val="both"/>
              <w:rPr>
                <w:sz w:val="24"/>
              </w:rPr>
            </w:pPr>
          </w:p>
        </w:tc>
      </w:tr>
    </w:tbl>
    <w:p w:rsidR="00946F45" w:rsidRDefault="00946F45">
      <w:pPr>
        <w:pStyle w:val="TableParagraph"/>
        <w:spacing w:line="283" w:lineRule="auto"/>
        <w:jc w:val="both"/>
        <w:rPr>
          <w:sz w:val="24"/>
        </w:rPr>
        <w:sectPr w:rsidR="00946F45">
          <w:type w:val="continuous"/>
          <w:pgSz w:w="16840" w:h="11910" w:orient="landscape"/>
          <w:pgMar w:top="1120" w:right="566" w:bottom="1604" w:left="566" w:header="0" w:footer="932" w:gutter="0"/>
          <w:cols w:space="720"/>
        </w:sectPr>
      </w:pPr>
    </w:p>
    <w:p w:rsidR="00946F45" w:rsidRDefault="00946F45">
      <w:pPr>
        <w:pStyle w:val="TableParagraph"/>
        <w:sectPr w:rsidR="00946F45">
          <w:type w:val="continuous"/>
          <w:pgSz w:w="16840" w:h="11910" w:orient="landscape"/>
          <w:pgMar w:top="1120" w:right="566" w:bottom="1160" w:left="566" w:header="0" w:footer="932" w:gutter="0"/>
          <w:cols w:space="720"/>
        </w:sectPr>
      </w:pPr>
    </w:p>
    <w:p w:rsidR="0084234D" w:rsidRDefault="0084234D"/>
    <w:sectPr w:rsidR="0084234D">
      <w:type w:val="continuous"/>
      <w:pgSz w:w="16840" w:h="11910" w:orient="landscape"/>
      <w:pgMar w:top="1120" w:right="566" w:bottom="1160" w:left="566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26C4" w:rsidRDefault="00EC26C4">
      <w:r>
        <w:separator/>
      </w:r>
    </w:p>
  </w:endnote>
  <w:endnote w:type="continuationSeparator" w:id="0">
    <w:p w:rsidR="00EC26C4" w:rsidRDefault="00EC2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F45" w:rsidRDefault="0084234D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73984" behindDoc="1" locked="0" layoutInCell="1" allowOverlap="1">
              <wp:simplePos x="0" y="0"/>
              <wp:positionH relativeFrom="page">
                <wp:posOffset>9877806</wp:posOffset>
              </wp:positionH>
              <wp:positionV relativeFrom="page">
                <wp:posOffset>6808216</wp:posOffset>
              </wp:positionV>
              <wp:extent cx="14605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6F45" w:rsidRDefault="0084234D">
                          <w:pPr>
                            <w:spacing w:before="12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7.8pt;margin-top:536.1pt;width:11.5pt;height:12pt;z-index:-1604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" filled="f" stroked="f">
              <v:textbox inset="0,0,0,0">
                <w:txbxContent>
                  <w:p w:rsidR="00946F45" w:rsidRDefault="0084234D">
                    <w:pPr>
                      <w:spacing w:before="12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26C4" w:rsidRDefault="00EC26C4">
      <w:r>
        <w:separator/>
      </w:r>
    </w:p>
  </w:footnote>
  <w:footnote w:type="continuationSeparator" w:id="0">
    <w:p w:rsidR="00EC26C4" w:rsidRDefault="00EC2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2E79CC"/>
    <w:multiLevelType w:val="hybridMultilevel"/>
    <w:tmpl w:val="9462FBBC"/>
    <w:lvl w:ilvl="0" w:tplc="FC422CF4">
      <w:numFmt w:val="bullet"/>
      <w:lvlText w:val="–"/>
      <w:lvlJc w:val="left"/>
      <w:pPr>
        <w:ind w:left="107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tr-TR" w:eastAsia="en-US" w:bidi="ar-SA"/>
      </w:rPr>
    </w:lvl>
    <w:lvl w:ilvl="1" w:tplc="EC32C474">
      <w:numFmt w:val="bullet"/>
      <w:lvlText w:val="•"/>
      <w:lvlJc w:val="left"/>
      <w:pPr>
        <w:ind w:left="745" w:hanging="262"/>
      </w:pPr>
      <w:rPr>
        <w:rFonts w:hint="default"/>
        <w:lang w:val="tr-TR" w:eastAsia="en-US" w:bidi="ar-SA"/>
      </w:rPr>
    </w:lvl>
    <w:lvl w:ilvl="2" w:tplc="1FB24EDA">
      <w:numFmt w:val="bullet"/>
      <w:lvlText w:val="•"/>
      <w:lvlJc w:val="left"/>
      <w:pPr>
        <w:ind w:left="1390" w:hanging="262"/>
      </w:pPr>
      <w:rPr>
        <w:rFonts w:hint="default"/>
        <w:lang w:val="tr-TR" w:eastAsia="en-US" w:bidi="ar-SA"/>
      </w:rPr>
    </w:lvl>
    <w:lvl w:ilvl="3" w:tplc="65D406C6">
      <w:numFmt w:val="bullet"/>
      <w:lvlText w:val="•"/>
      <w:lvlJc w:val="left"/>
      <w:pPr>
        <w:ind w:left="2035" w:hanging="262"/>
      </w:pPr>
      <w:rPr>
        <w:rFonts w:hint="default"/>
        <w:lang w:val="tr-TR" w:eastAsia="en-US" w:bidi="ar-SA"/>
      </w:rPr>
    </w:lvl>
    <w:lvl w:ilvl="4" w:tplc="26B0B2F0">
      <w:numFmt w:val="bullet"/>
      <w:lvlText w:val="•"/>
      <w:lvlJc w:val="left"/>
      <w:pPr>
        <w:ind w:left="2680" w:hanging="262"/>
      </w:pPr>
      <w:rPr>
        <w:rFonts w:hint="default"/>
        <w:lang w:val="tr-TR" w:eastAsia="en-US" w:bidi="ar-SA"/>
      </w:rPr>
    </w:lvl>
    <w:lvl w:ilvl="5" w:tplc="204A019E">
      <w:numFmt w:val="bullet"/>
      <w:lvlText w:val="•"/>
      <w:lvlJc w:val="left"/>
      <w:pPr>
        <w:ind w:left="3326" w:hanging="262"/>
      </w:pPr>
      <w:rPr>
        <w:rFonts w:hint="default"/>
        <w:lang w:val="tr-TR" w:eastAsia="en-US" w:bidi="ar-SA"/>
      </w:rPr>
    </w:lvl>
    <w:lvl w:ilvl="6" w:tplc="76145AA0">
      <w:numFmt w:val="bullet"/>
      <w:lvlText w:val="•"/>
      <w:lvlJc w:val="left"/>
      <w:pPr>
        <w:ind w:left="3971" w:hanging="262"/>
      </w:pPr>
      <w:rPr>
        <w:rFonts w:hint="default"/>
        <w:lang w:val="tr-TR" w:eastAsia="en-US" w:bidi="ar-SA"/>
      </w:rPr>
    </w:lvl>
    <w:lvl w:ilvl="7" w:tplc="39387784">
      <w:numFmt w:val="bullet"/>
      <w:lvlText w:val="•"/>
      <w:lvlJc w:val="left"/>
      <w:pPr>
        <w:ind w:left="4616" w:hanging="262"/>
      </w:pPr>
      <w:rPr>
        <w:rFonts w:hint="default"/>
        <w:lang w:val="tr-TR" w:eastAsia="en-US" w:bidi="ar-SA"/>
      </w:rPr>
    </w:lvl>
    <w:lvl w:ilvl="8" w:tplc="A2CE56CE">
      <w:numFmt w:val="bullet"/>
      <w:lvlText w:val="•"/>
      <w:lvlJc w:val="left"/>
      <w:pPr>
        <w:ind w:left="5261" w:hanging="262"/>
      </w:pPr>
      <w:rPr>
        <w:rFonts w:hint="default"/>
        <w:lang w:val="tr-TR" w:eastAsia="en-US" w:bidi="ar-SA"/>
      </w:rPr>
    </w:lvl>
  </w:abstractNum>
  <w:abstractNum w:abstractNumId="1" w15:restartNumberingAfterBreak="0">
    <w:nsid w:val="2F4C23DF"/>
    <w:multiLevelType w:val="hybridMultilevel"/>
    <w:tmpl w:val="DA463AAA"/>
    <w:lvl w:ilvl="0" w:tplc="FB44EE14">
      <w:numFmt w:val="bullet"/>
      <w:lvlText w:val="–"/>
      <w:lvlJc w:val="left"/>
      <w:pPr>
        <w:ind w:left="182" w:hanging="21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tr-TR" w:eastAsia="en-US" w:bidi="ar-SA"/>
      </w:rPr>
    </w:lvl>
    <w:lvl w:ilvl="1" w:tplc="1F78C980">
      <w:numFmt w:val="bullet"/>
      <w:lvlText w:val="•"/>
      <w:lvlJc w:val="left"/>
      <w:pPr>
        <w:ind w:left="817" w:hanging="215"/>
      </w:pPr>
      <w:rPr>
        <w:rFonts w:hint="default"/>
        <w:lang w:val="tr-TR" w:eastAsia="en-US" w:bidi="ar-SA"/>
      </w:rPr>
    </w:lvl>
    <w:lvl w:ilvl="2" w:tplc="EB2A54E4">
      <w:numFmt w:val="bullet"/>
      <w:lvlText w:val="•"/>
      <w:lvlJc w:val="left"/>
      <w:pPr>
        <w:ind w:left="1454" w:hanging="215"/>
      </w:pPr>
      <w:rPr>
        <w:rFonts w:hint="default"/>
        <w:lang w:val="tr-TR" w:eastAsia="en-US" w:bidi="ar-SA"/>
      </w:rPr>
    </w:lvl>
    <w:lvl w:ilvl="3" w:tplc="41C22528">
      <w:numFmt w:val="bullet"/>
      <w:lvlText w:val="•"/>
      <w:lvlJc w:val="left"/>
      <w:pPr>
        <w:ind w:left="2091" w:hanging="215"/>
      </w:pPr>
      <w:rPr>
        <w:rFonts w:hint="default"/>
        <w:lang w:val="tr-TR" w:eastAsia="en-US" w:bidi="ar-SA"/>
      </w:rPr>
    </w:lvl>
    <w:lvl w:ilvl="4" w:tplc="D7F8FE08">
      <w:numFmt w:val="bullet"/>
      <w:lvlText w:val="•"/>
      <w:lvlJc w:val="left"/>
      <w:pPr>
        <w:ind w:left="2728" w:hanging="215"/>
      </w:pPr>
      <w:rPr>
        <w:rFonts w:hint="default"/>
        <w:lang w:val="tr-TR" w:eastAsia="en-US" w:bidi="ar-SA"/>
      </w:rPr>
    </w:lvl>
    <w:lvl w:ilvl="5" w:tplc="285A757E">
      <w:numFmt w:val="bullet"/>
      <w:lvlText w:val="•"/>
      <w:lvlJc w:val="left"/>
      <w:pPr>
        <w:ind w:left="3366" w:hanging="215"/>
      </w:pPr>
      <w:rPr>
        <w:rFonts w:hint="default"/>
        <w:lang w:val="tr-TR" w:eastAsia="en-US" w:bidi="ar-SA"/>
      </w:rPr>
    </w:lvl>
    <w:lvl w:ilvl="6" w:tplc="EFD207F6">
      <w:numFmt w:val="bullet"/>
      <w:lvlText w:val="•"/>
      <w:lvlJc w:val="left"/>
      <w:pPr>
        <w:ind w:left="4003" w:hanging="215"/>
      </w:pPr>
      <w:rPr>
        <w:rFonts w:hint="default"/>
        <w:lang w:val="tr-TR" w:eastAsia="en-US" w:bidi="ar-SA"/>
      </w:rPr>
    </w:lvl>
    <w:lvl w:ilvl="7" w:tplc="A6CECED0">
      <w:numFmt w:val="bullet"/>
      <w:lvlText w:val="•"/>
      <w:lvlJc w:val="left"/>
      <w:pPr>
        <w:ind w:left="4640" w:hanging="215"/>
      </w:pPr>
      <w:rPr>
        <w:rFonts w:hint="default"/>
        <w:lang w:val="tr-TR" w:eastAsia="en-US" w:bidi="ar-SA"/>
      </w:rPr>
    </w:lvl>
    <w:lvl w:ilvl="8" w:tplc="9B522B28">
      <w:numFmt w:val="bullet"/>
      <w:lvlText w:val="•"/>
      <w:lvlJc w:val="left"/>
      <w:pPr>
        <w:ind w:left="5277" w:hanging="215"/>
      </w:pPr>
      <w:rPr>
        <w:rFonts w:hint="default"/>
        <w:lang w:val="tr-TR" w:eastAsia="en-US" w:bidi="ar-SA"/>
      </w:rPr>
    </w:lvl>
  </w:abstractNum>
  <w:abstractNum w:abstractNumId="2" w15:restartNumberingAfterBreak="0">
    <w:nsid w:val="3EBE48F1"/>
    <w:multiLevelType w:val="hybridMultilevel"/>
    <w:tmpl w:val="B7FCCEE0"/>
    <w:lvl w:ilvl="0" w:tplc="5FE438EA">
      <w:start w:val="2"/>
      <w:numFmt w:val="bullet"/>
      <w:lvlText w:val="−"/>
      <w:lvlJc w:val="left"/>
      <w:pPr>
        <w:ind w:left="8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" w15:restartNumberingAfterBreak="0">
    <w:nsid w:val="3FAA1E6A"/>
    <w:multiLevelType w:val="hybridMultilevel"/>
    <w:tmpl w:val="0BD2C4D4"/>
    <w:lvl w:ilvl="0" w:tplc="A69E7982">
      <w:numFmt w:val="bullet"/>
      <w:lvlText w:val="–"/>
      <w:lvlJc w:val="left"/>
      <w:pPr>
        <w:ind w:left="107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tr-TR" w:eastAsia="en-US" w:bidi="ar-SA"/>
      </w:rPr>
    </w:lvl>
    <w:lvl w:ilvl="1" w:tplc="E334EAA4">
      <w:numFmt w:val="bullet"/>
      <w:lvlText w:val="•"/>
      <w:lvlJc w:val="left"/>
      <w:pPr>
        <w:ind w:left="745" w:hanging="262"/>
      </w:pPr>
      <w:rPr>
        <w:rFonts w:hint="default"/>
        <w:lang w:val="tr-TR" w:eastAsia="en-US" w:bidi="ar-SA"/>
      </w:rPr>
    </w:lvl>
    <w:lvl w:ilvl="2" w:tplc="3B2A203A">
      <w:numFmt w:val="bullet"/>
      <w:lvlText w:val="•"/>
      <w:lvlJc w:val="left"/>
      <w:pPr>
        <w:ind w:left="1390" w:hanging="262"/>
      </w:pPr>
      <w:rPr>
        <w:rFonts w:hint="default"/>
        <w:lang w:val="tr-TR" w:eastAsia="en-US" w:bidi="ar-SA"/>
      </w:rPr>
    </w:lvl>
    <w:lvl w:ilvl="3" w:tplc="B3E848F8">
      <w:numFmt w:val="bullet"/>
      <w:lvlText w:val="•"/>
      <w:lvlJc w:val="left"/>
      <w:pPr>
        <w:ind w:left="2035" w:hanging="262"/>
      </w:pPr>
      <w:rPr>
        <w:rFonts w:hint="default"/>
        <w:lang w:val="tr-TR" w:eastAsia="en-US" w:bidi="ar-SA"/>
      </w:rPr>
    </w:lvl>
    <w:lvl w:ilvl="4" w:tplc="DAE8AF56">
      <w:numFmt w:val="bullet"/>
      <w:lvlText w:val="•"/>
      <w:lvlJc w:val="left"/>
      <w:pPr>
        <w:ind w:left="2680" w:hanging="262"/>
      </w:pPr>
      <w:rPr>
        <w:rFonts w:hint="default"/>
        <w:lang w:val="tr-TR" w:eastAsia="en-US" w:bidi="ar-SA"/>
      </w:rPr>
    </w:lvl>
    <w:lvl w:ilvl="5" w:tplc="1A024284">
      <w:numFmt w:val="bullet"/>
      <w:lvlText w:val="•"/>
      <w:lvlJc w:val="left"/>
      <w:pPr>
        <w:ind w:left="3326" w:hanging="262"/>
      </w:pPr>
      <w:rPr>
        <w:rFonts w:hint="default"/>
        <w:lang w:val="tr-TR" w:eastAsia="en-US" w:bidi="ar-SA"/>
      </w:rPr>
    </w:lvl>
    <w:lvl w:ilvl="6" w:tplc="23B409AA">
      <w:numFmt w:val="bullet"/>
      <w:lvlText w:val="•"/>
      <w:lvlJc w:val="left"/>
      <w:pPr>
        <w:ind w:left="3971" w:hanging="262"/>
      </w:pPr>
      <w:rPr>
        <w:rFonts w:hint="default"/>
        <w:lang w:val="tr-TR" w:eastAsia="en-US" w:bidi="ar-SA"/>
      </w:rPr>
    </w:lvl>
    <w:lvl w:ilvl="7" w:tplc="3CA60450">
      <w:numFmt w:val="bullet"/>
      <w:lvlText w:val="•"/>
      <w:lvlJc w:val="left"/>
      <w:pPr>
        <w:ind w:left="4616" w:hanging="262"/>
      </w:pPr>
      <w:rPr>
        <w:rFonts w:hint="default"/>
        <w:lang w:val="tr-TR" w:eastAsia="en-US" w:bidi="ar-SA"/>
      </w:rPr>
    </w:lvl>
    <w:lvl w:ilvl="8" w:tplc="DB4208B0">
      <w:numFmt w:val="bullet"/>
      <w:lvlText w:val="•"/>
      <w:lvlJc w:val="left"/>
      <w:pPr>
        <w:ind w:left="5261" w:hanging="262"/>
      </w:pPr>
      <w:rPr>
        <w:rFonts w:hint="default"/>
        <w:lang w:val="tr-TR" w:eastAsia="en-US" w:bidi="ar-SA"/>
      </w:rPr>
    </w:lvl>
  </w:abstractNum>
  <w:abstractNum w:abstractNumId="4" w15:restartNumberingAfterBreak="0">
    <w:nsid w:val="730F5407"/>
    <w:multiLevelType w:val="hybridMultilevel"/>
    <w:tmpl w:val="9B0CAE6C"/>
    <w:lvl w:ilvl="0" w:tplc="106C80F2">
      <w:numFmt w:val="bullet"/>
      <w:lvlText w:val="–"/>
      <w:lvlJc w:val="left"/>
      <w:pPr>
        <w:ind w:left="182" w:hanging="3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36"/>
        <w:sz w:val="24"/>
        <w:szCs w:val="24"/>
        <w:lang w:val="tr-TR" w:eastAsia="en-US" w:bidi="ar-SA"/>
      </w:rPr>
    </w:lvl>
    <w:lvl w:ilvl="1" w:tplc="53C8920A">
      <w:numFmt w:val="bullet"/>
      <w:lvlText w:val="•"/>
      <w:lvlJc w:val="left"/>
      <w:pPr>
        <w:ind w:left="817" w:hanging="328"/>
      </w:pPr>
      <w:rPr>
        <w:rFonts w:hint="default"/>
        <w:lang w:val="tr-TR" w:eastAsia="en-US" w:bidi="ar-SA"/>
      </w:rPr>
    </w:lvl>
    <w:lvl w:ilvl="2" w:tplc="11DEB036">
      <w:numFmt w:val="bullet"/>
      <w:lvlText w:val="•"/>
      <w:lvlJc w:val="left"/>
      <w:pPr>
        <w:ind w:left="1454" w:hanging="328"/>
      </w:pPr>
      <w:rPr>
        <w:rFonts w:hint="default"/>
        <w:lang w:val="tr-TR" w:eastAsia="en-US" w:bidi="ar-SA"/>
      </w:rPr>
    </w:lvl>
    <w:lvl w:ilvl="3" w:tplc="A032227C">
      <w:numFmt w:val="bullet"/>
      <w:lvlText w:val="•"/>
      <w:lvlJc w:val="left"/>
      <w:pPr>
        <w:ind w:left="2091" w:hanging="328"/>
      </w:pPr>
      <w:rPr>
        <w:rFonts w:hint="default"/>
        <w:lang w:val="tr-TR" w:eastAsia="en-US" w:bidi="ar-SA"/>
      </w:rPr>
    </w:lvl>
    <w:lvl w:ilvl="4" w:tplc="597E8B30">
      <w:numFmt w:val="bullet"/>
      <w:lvlText w:val="•"/>
      <w:lvlJc w:val="left"/>
      <w:pPr>
        <w:ind w:left="2728" w:hanging="328"/>
      </w:pPr>
      <w:rPr>
        <w:rFonts w:hint="default"/>
        <w:lang w:val="tr-TR" w:eastAsia="en-US" w:bidi="ar-SA"/>
      </w:rPr>
    </w:lvl>
    <w:lvl w:ilvl="5" w:tplc="5A8E5748">
      <w:numFmt w:val="bullet"/>
      <w:lvlText w:val="•"/>
      <w:lvlJc w:val="left"/>
      <w:pPr>
        <w:ind w:left="3366" w:hanging="328"/>
      </w:pPr>
      <w:rPr>
        <w:rFonts w:hint="default"/>
        <w:lang w:val="tr-TR" w:eastAsia="en-US" w:bidi="ar-SA"/>
      </w:rPr>
    </w:lvl>
    <w:lvl w:ilvl="6" w:tplc="F6ACC128">
      <w:numFmt w:val="bullet"/>
      <w:lvlText w:val="•"/>
      <w:lvlJc w:val="left"/>
      <w:pPr>
        <w:ind w:left="4003" w:hanging="328"/>
      </w:pPr>
      <w:rPr>
        <w:rFonts w:hint="default"/>
        <w:lang w:val="tr-TR" w:eastAsia="en-US" w:bidi="ar-SA"/>
      </w:rPr>
    </w:lvl>
    <w:lvl w:ilvl="7" w:tplc="D2D6DDB2">
      <w:numFmt w:val="bullet"/>
      <w:lvlText w:val="•"/>
      <w:lvlJc w:val="left"/>
      <w:pPr>
        <w:ind w:left="4640" w:hanging="328"/>
      </w:pPr>
      <w:rPr>
        <w:rFonts w:hint="default"/>
        <w:lang w:val="tr-TR" w:eastAsia="en-US" w:bidi="ar-SA"/>
      </w:rPr>
    </w:lvl>
    <w:lvl w:ilvl="8" w:tplc="96DAB6C6">
      <w:numFmt w:val="bullet"/>
      <w:lvlText w:val="•"/>
      <w:lvlJc w:val="left"/>
      <w:pPr>
        <w:ind w:left="5277" w:hanging="328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46F45"/>
    <w:rsid w:val="001759C1"/>
    <w:rsid w:val="002C4D8A"/>
    <w:rsid w:val="004B5DE0"/>
    <w:rsid w:val="004C569A"/>
    <w:rsid w:val="004E4629"/>
    <w:rsid w:val="005F7C4A"/>
    <w:rsid w:val="007217D0"/>
    <w:rsid w:val="0082327A"/>
    <w:rsid w:val="0084234D"/>
    <w:rsid w:val="00946F45"/>
    <w:rsid w:val="00A70866"/>
    <w:rsid w:val="00BC4E38"/>
    <w:rsid w:val="00D04143"/>
    <w:rsid w:val="00D87F55"/>
    <w:rsid w:val="00DA58D6"/>
    <w:rsid w:val="00DC55A2"/>
    <w:rsid w:val="00E56387"/>
    <w:rsid w:val="00EC1364"/>
    <w:rsid w:val="00EC26C4"/>
    <w:rsid w:val="00FE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B53B92-E4B5-46ED-8BC3-4CB12612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FE0252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FE0252"/>
    <w:pPr>
      <w:widowControl/>
      <w:autoSpaceDE/>
      <w:autoSpaceDN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FE0252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Standartization IT</dc:creator>
  <cp:lastModifiedBy>ComVi</cp:lastModifiedBy>
  <cp:revision>4</cp:revision>
  <dcterms:created xsi:type="dcterms:W3CDTF">2026-06-16T13:53:00Z</dcterms:created>
  <dcterms:modified xsi:type="dcterms:W3CDTF">2026-06-18T06:04:00Z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2026-06-16T00:00:00Z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