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5AF87" w14:textId="77777777" w:rsidR="00E4040E" w:rsidRDefault="00E4040E" w:rsidP="00E4040E">
      <w:pPr>
        <w:pStyle w:val="1"/>
        <w:ind w:left="3"/>
      </w:pPr>
      <w:r>
        <w:rPr>
          <w:color w:val="00AF50"/>
        </w:rPr>
        <w:t>Amaliy</w:t>
      </w:r>
      <w:r>
        <w:rPr>
          <w:color w:val="00AF50"/>
          <w:spacing w:val="-9"/>
        </w:rPr>
        <w:t xml:space="preserve"> </w:t>
      </w:r>
      <w:r>
        <w:rPr>
          <w:color w:val="00AF50"/>
        </w:rPr>
        <w:t>tadqiqotlar</w:t>
      </w:r>
      <w:r>
        <w:rPr>
          <w:color w:val="00AF50"/>
          <w:spacing w:val="-10"/>
        </w:rPr>
        <w:t xml:space="preserve"> </w:t>
      </w:r>
      <w:r>
        <w:rPr>
          <w:color w:val="00AF50"/>
        </w:rPr>
        <w:t>tanlovi</w:t>
      </w:r>
      <w:r>
        <w:rPr>
          <w:color w:val="00AF50"/>
          <w:spacing w:val="-10"/>
        </w:rPr>
        <w:t xml:space="preserve"> </w:t>
      </w:r>
      <w:r>
        <w:rPr>
          <w:color w:val="00AF50"/>
          <w:spacing w:val="-2"/>
        </w:rPr>
        <w:t>mavzusi</w:t>
      </w:r>
    </w:p>
    <w:p w14:paraId="356BAFC0" w14:textId="77777777" w:rsidR="00E4040E" w:rsidRDefault="00E4040E" w:rsidP="00E4040E">
      <w:pPr>
        <w:spacing w:before="186"/>
        <w:ind w:right="4"/>
        <w:jc w:val="center"/>
        <w:rPr>
          <w:b/>
          <w:sz w:val="28"/>
        </w:rPr>
      </w:pPr>
      <w:r>
        <w:rPr>
          <w:b/>
          <w:color w:val="001F5F"/>
          <w:sz w:val="28"/>
        </w:rPr>
        <w:t>“O‘rmon</w:t>
      </w:r>
      <w:r>
        <w:rPr>
          <w:b/>
          <w:color w:val="001F5F"/>
          <w:spacing w:val="-13"/>
          <w:sz w:val="28"/>
        </w:rPr>
        <w:t xml:space="preserve"> </w:t>
      </w:r>
      <w:r>
        <w:rPr>
          <w:b/>
          <w:color w:val="001F5F"/>
          <w:sz w:val="28"/>
        </w:rPr>
        <w:t>xo‘jaligi,</w:t>
      </w:r>
      <w:r>
        <w:rPr>
          <w:b/>
          <w:color w:val="001F5F"/>
          <w:spacing w:val="-14"/>
          <w:sz w:val="28"/>
        </w:rPr>
        <w:t xml:space="preserve"> </w:t>
      </w:r>
      <w:r>
        <w:rPr>
          <w:b/>
          <w:color w:val="001F5F"/>
          <w:sz w:val="28"/>
        </w:rPr>
        <w:t>tuproqshunoslik</w:t>
      </w:r>
      <w:r>
        <w:rPr>
          <w:b/>
          <w:color w:val="001F5F"/>
          <w:spacing w:val="-13"/>
          <w:sz w:val="28"/>
        </w:rPr>
        <w:t xml:space="preserve"> </w:t>
      </w:r>
      <w:r>
        <w:rPr>
          <w:b/>
          <w:color w:val="001F5F"/>
          <w:sz w:val="28"/>
        </w:rPr>
        <w:t>va</w:t>
      </w:r>
      <w:r>
        <w:rPr>
          <w:b/>
          <w:color w:val="001F5F"/>
          <w:spacing w:val="-14"/>
          <w:sz w:val="28"/>
        </w:rPr>
        <w:t xml:space="preserve"> </w:t>
      </w:r>
      <w:r>
        <w:rPr>
          <w:b/>
          <w:color w:val="001F5F"/>
          <w:sz w:val="28"/>
        </w:rPr>
        <w:t>o‘simliklarni</w:t>
      </w:r>
      <w:r>
        <w:rPr>
          <w:b/>
          <w:color w:val="001F5F"/>
          <w:spacing w:val="-14"/>
          <w:sz w:val="28"/>
        </w:rPr>
        <w:t xml:space="preserve"> </w:t>
      </w:r>
      <w:r>
        <w:rPr>
          <w:b/>
          <w:color w:val="001F5F"/>
          <w:sz w:val="28"/>
        </w:rPr>
        <w:t>himoya</w:t>
      </w:r>
      <w:r>
        <w:rPr>
          <w:b/>
          <w:color w:val="001F5F"/>
          <w:spacing w:val="-14"/>
          <w:sz w:val="28"/>
        </w:rPr>
        <w:t xml:space="preserve"> </w:t>
      </w:r>
      <w:r>
        <w:rPr>
          <w:b/>
          <w:color w:val="001F5F"/>
          <w:sz w:val="28"/>
        </w:rPr>
        <w:t>qilish”</w:t>
      </w:r>
      <w:r>
        <w:rPr>
          <w:b/>
          <w:color w:val="001F5F"/>
          <w:spacing w:val="-14"/>
          <w:sz w:val="28"/>
        </w:rPr>
        <w:t xml:space="preserve"> </w:t>
      </w:r>
      <w:r>
        <w:rPr>
          <w:b/>
          <w:color w:val="001F5F"/>
          <w:sz w:val="28"/>
        </w:rPr>
        <w:t>fanlari</w:t>
      </w:r>
      <w:r>
        <w:rPr>
          <w:b/>
          <w:color w:val="001F5F"/>
          <w:spacing w:val="-14"/>
          <w:sz w:val="28"/>
        </w:rPr>
        <w:t xml:space="preserve"> </w:t>
      </w:r>
      <w:r>
        <w:rPr>
          <w:b/>
          <w:color w:val="001F5F"/>
          <w:spacing w:val="-2"/>
          <w:sz w:val="28"/>
        </w:rPr>
        <w:t>yoʻnalish</w:t>
      </w:r>
    </w:p>
    <w:p w14:paraId="7F422D31" w14:textId="77777777" w:rsidR="00E4040E" w:rsidRDefault="00E4040E" w:rsidP="00E4040E">
      <w:pPr>
        <w:pStyle w:val="a3"/>
        <w:spacing w:before="2"/>
        <w:rPr>
          <w:b/>
          <w:sz w:val="16"/>
        </w:rPr>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10916"/>
      </w:tblGrid>
      <w:tr w:rsidR="00E4040E" w14:paraId="630261B1" w14:textId="77777777" w:rsidTr="001B45CD">
        <w:trPr>
          <w:trHeight w:val="444"/>
        </w:trPr>
        <w:tc>
          <w:tcPr>
            <w:tcW w:w="3539" w:type="dxa"/>
          </w:tcPr>
          <w:p w14:paraId="28CCA5D7" w14:textId="77777777" w:rsidR="00E4040E" w:rsidRDefault="00E4040E" w:rsidP="001B45CD">
            <w:pPr>
              <w:pStyle w:val="TableParagraph"/>
              <w:spacing w:before="85"/>
              <w:ind w:left="958"/>
              <w:rPr>
                <w:b/>
                <w:sz w:val="24"/>
              </w:rPr>
            </w:pPr>
            <w:r>
              <w:rPr>
                <w:b/>
                <w:sz w:val="24"/>
              </w:rPr>
              <w:t xml:space="preserve">Loyiha </w:t>
            </w:r>
            <w:r>
              <w:rPr>
                <w:b/>
                <w:spacing w:val="-2"/>
                <w:sz w:val="24"/>
              </w:rPr>
              <w:t>mavzusi</w:t>
            </w:r>
          </w:p>
        </w:tc>
        <w:tc>
          <w:tcPr>
            <w:tcW w:w="10916" w:type="dxa"/>
          </w:tcPr>
          <w:p w14:paraId="4E02F874" w14:textId="77777777" w:rsidR="00E4040E" w:rsidRDefault="00E4040E" w:rsidP="001B45CD">
            <w:pPr>
              <w:pStyle w:val="TableParagraph"/>
              <w:spacing w:before="85"/>
              <w:ind w:left="8"/>
              <w:jc w:val="center"/>
              <w:rPr>
                <w:b/>
                <w:sz w:val="24"/>
              </w:rPr>
            </w:pPr>
            <w:r>
              <w:rPr>
                <w:b/>
                <w:sz w:val="24"/>
              </w:rPr>
              <w:t>Loyiha</w:t>
            </w:r>
            <w:r>
              <w:rPr>
                <w:b/>
                <w:spacing w:val="-1"/>
                <w:sz w:val="24"/>
              </w:rPr>
              <w:t xml:space="preserve"> </w:t>
            </w:r>
            <w:r>
              <w:rPr>
                <w:b/>
                <w:sz w:val="24"/>
              </w:rPr>
              <w:t>bajarilishidan</w:t>
            </w:r>
            <w:r>
              <w:rPr>
                <w:b/>
                <w:spacing w:val="-1"/>
                <w:sz w:val="24"/>
              </w:rPr>
              <w:t xml:space="preserve"> </w:t>
            </w:r>
            <w:r>
              <w:rPr>
                <w:b/>
                <w:sz w:val="24"/>
              </w:rPr>
              <w:t>kutilayotgan</w:t>
            </w:r>
            <w:r>
              <w:rPr>
                <w:b/>
                <w:spacing w:val="-1"/>
                <w:sz w:val="24"/>
              </w:rPr>
              <w:t xml:space="preserve"> </w:t>
            </w:r>
            <w:r>
              <w:rPr>
                <w:b/>
                <w:spacing w:val="-2"/>
                <w:sz w:val="24"/>
              </w:rPr>
              <w:t>natija</w:t>
            </w:r>
          </w:p>
        </w:tc>
      </w:tr>
      <w:tr w:rsidR="00E4040E" w14:paraId="259E8418" w14:textId="77777777" w:rsidTr="001B45CD">
        <w:trPr>
          <w:trHeight w:val="6824"/>
        </w:trPr>
        <w:tc>
          <w:tcPr>
            <w:tcW w:w="3539" w:type="dxa"/>
          </w:tcPr>
          <w:p w14:paraId="6D6A9E30" w14:textId="77777777" w:rsidR="00E4040E" w:rsidRDefault="00E4040E" w:rsidP="001B45CD">
            <w:pPr>
              <w:pStyle w:val="TableParagraph"/>
              <w:rPr>
                <w:b/>
                <w:sz w:val="24"/>
              </w:rPr>
            </w:pPr>
          </w:p>
          <w:p w14:paraId="2E437DF1" w14:textId="77777777" w:rsidR="00E4040E" w:rsidRPr="006E1BD2" w:rsidRDefault="00E4040E" w:rsidP="001B45CD">
            <w:pPr>
              <w:pStyle w:val="TableParagraph"/>
              <w:ind w:left="395" w:right="385" w:hanging="1"/>
              <w:jc w:val="center"/>
              <w:rPr>
                <w:color w:val="000000" w:themeColor="text1"/>
                <w:sz w:val="24"/>
              </w:rPr>
            </w:pPr>
            <w:r w:rsidRPr="006E1BD2">
              <w:rPr>
                <w:color w:val="000000" w:themeColor="text1"/>
                <w:sz w:val="24"/>
              </w:rPr>
              <w:t>Sun’iy suv omborlaridagi cho‘kma</w:t>
            </w:r>
            <w:r w:rsidRPr="006E1BD2">
              <w:rPr>
                <w:color w:val="000000" w:themeColor="text1"/>
                <w:spacing w:val="-15"/>
                <w:sz w:val="24"/>
              </w:rPr>
              <w:t xml:space="preserve"> </w:t>
            </w:r>
            <w:r w:rsidRPr="006E1BD2">
              <w:rPr>
                <w:color w:val="000000" w:themeColor="text1"/>
                <w:sz w:val="24"/>
              </w:rPr>
              <w:t>(loyqa)larning</w:t>
            </w:r>
            <w:r w:rsidRPr="006E1BD2">
              <w:rPr>
                <w:color w:val="000000" w:themeColor="text1"/>
                <w:spacing w:val="-15"/>
                <w:sz w:val="24"/>
              </w:rPr>
              <w:t xml:space="preserve"> </w:t>
            </w:r>
            <w:r w:rsidRPr="006E1BD2">
              <w:rPr>
                <w:color w:val="000000" w:themeColor="text1"/>
                <w:sz w:val="24"/>
              </w:rPr>
              <w:t>ekin maydonlarida qo‘llash</w:t>
            </w:r>
          </w:p>
          <w:p w14:paraId="6E434C9B" w14:textId="77777777" w:rsidR="00E4040E" w:rsidRPr="006E1BD2" w:rsidRDefault="00E4040E" w:rsidP="001B45CD">
            <w:pPr>
              <w:pStyle w:val="TableParagraph"/>
              <w:ind w:left="123" w:right="111" w:hanging="2"/>
              <w:jc w:val="center"/>
              <w:rPr>
                <w:color w:val="000000" w:themeColor="text1"/>
                <w:sz w:val="24"/>
              </w:rPr>
            </w:pPr>
            <w:r w:rsidRPr="006E1BD2">
              <w:rPr>
                <w:color w:val="000000" w:themeColor="text1"/>
                <w:sz w:val="24"/>
              </w:rPr>
              <w:t>samaradorligini o‘rganish va unlardan foydalanish agrotexnologiyasini</w:t>
            </w:r>
            <w:r w:rsidRPr="006E1BD2">
              <w:rPr>
                <w:color w:val="000000" w:themeColor="text1"/>
                <w:spacing w:val="-15"/>
                <w:sz w:val="24"/>
              </w:rPr>
              <w:t xml:space="preserve"> </w:t>
            </w:r>
            <w:r w:rsidRPr="006E1BD2">
              <w:rPr>
                <w:color w:val="000000" w:themeColor="text1"/>
                <w:sz w:val="24"/>
              </w:rPr>
              <w:t>ishlab</w:t>
            </w:r>
            <w:r w:rsidRPr="006E1BD2">
              <w:rPr>
                <w:color w:val="000000" w:themeColor="text1"/>
                <w:spacing w:val="-15"/>
                <w:sz w:val="24"/>
              </w:rPr>
              <w:t xml:space="preserve"> </w:t>
            </w:r>
            <w:r w:rsidRPr="006E1BD2">
              <w:rPr>
                <w:color w:val="000000" w:themeColor="text1"/>
                <w:sz w:val="24"/>
              </w:rPr>
              <w:t>chiqish</w:t>
            </w:r>
          </w:p>
          <w:p w14:paraId="26DED025" w14:textId="77777777" w:rsidR="00E4040E" w:rsidRDefault="00E4040E" w:rsidP="001B45CD">
            <w:pPr>
              <w:pStyle w:val="TableParagraph"/>
              <w:rPr>
                <w:b/>
                <w:sz w:val="20"/>
              </w:rPr>
            </w:pPr>
          </w:p>
          <w:p w14:paraId="4CE3DC67" w14:textId="77777777" w:rsidR="00E4040E" w:rsidRDefault="00E4040E" w:rsidP="001B45CD">
            <w:pPr>
              <w:pStyle w:val="TableParagraph"/>
              <w:spacing w:before="91" w:after="1"/>
              <w:rPr>
                <w:b/>
                <w:sz w:val="20"/>
              </w:rPr>
            </w:pPr>
          </w:p>
          <w:p w14:paraId="5C8B47C3" w14:textId="77777777" w:rsidR="00E4040E" w:rsidRDefault="00E4040E" w:rsidP="001B45CD">
            <w:pPr>
              <w:pStyle w:val="TableParagraph"/>
              <w:ind w:left="108"/>
              <w:rPr>
                <w:sz w:val="20"/>
              </w:rPr>
            </w:pPr>
            <w:r>
              <w:rPr>
                <w:noProof/>
                <w:sz w:val="20"/>
              </w:rPr>
              <w:drawing>
                <wp:inline distT="0" distB="0" distL="0" distR="0" wp14:anchorId="4D3E52ED" wp14:editId="6B002F81">
                  <wp:extent cx="2133557" cy="1600200"/>
                  <wp:effectExtent l="0" t="0" r="0" b="0"/>
                  <wp:docPr id="1" name="Image 1" descr="Pond Dredging Company | Atlanta | Georg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ond Dredging Company | Atlanta | Georgia"/>
                          <pic:cNvPicPr/>
                        </pic:nvPicPr>
                        <pic:blipFill>
                          <a:blip r:embed="rId4" cstate="print"/>
                          <a:stretch>
                            <a:fillRect/>
                          </a:stretch>
                        </pic:blipFill>
                        <pic:spPr>
                          <a:xfrm>
                            <a:off x="0" y="0"/>
                            <a:ext cx="2133557" cy="1600200"/>
                          </a:xfrm>
                          <a:prstGeom prst="rect">
                            <a:avLst/>
                          </a:prstGeom>
                        </pic:spPr>
                      </pic:pic>
                    </a:graphicData>
                  </a:graphic>
                </wp:inline>
              </w:drawing>
            </w:r>
          </w:p>
          <w:p w14:paraId="664CF6B4" w14:textId="77777777" w:rsidR="00E4040E" w:rsidRDefault="00E4040E" w:rsidP="001B45CD">
            <w:pPr>
              <w:pStyle w:val="TableParagraph"/>
              <w:rPr>
                <w:b/>
                <w:sz w:val="20"/>
              </w:rPr>
            </w:pPr>
          </w:p>
          <w:p w14:paraId="31A142B0" w14:textId="77777777" w:rsidR="00E4040E" w:rsidRDefault="00E4040E" w:rsidP="001B45CD">
            <w:pPr>
              <w:pStyle w:val="TableParagraph"/>
              <w:rPr>
                <w:b/>
                <w:sz w:val="20"/>
              </w:rPr>
            </w:pPr>
          </w:p>
          <w:p w14:paraId="128837FA" w14:textId="77777777" w:rsidR="00E4040E" w:rsidRDefault="00E4040E" w:rsidP="001B45CD">
            <w:pPr>
              <w:pStyle w:val="TableParagraph"/>
              <w:rPr>
                <w:b/>
                <w:sz w:val="20"/>
              </w:rPr>
            </w:pPr>
          </w:p>
          <w:p w14:paraId="0ED823BA" w14:textId="77777777" w:rsidR="00E4040E" w:rsidRDefault="00E4040E" w:rsidP="001B45CD">
            <w:pPr>
              <w:pStyle w:val="TableParagraph"/>
              <w:rPr>
                <w:b/>
                <w:sz w:val="20"/>
              </w:rPr>
            </w:pPr>
          </w:p>
          <w:p w14:paraId="14DF4900" w14:textId="77777777" w:rsidR="00E4040E" w:rsidRDefault="00E4040E" w:rsidP="001B45CD">
            <w:pPr>
              <w:pStyle w:val="TableParagraph"/>
              <w:rPr>
                <w:b/>
                <w:sz w:val="20"/>
              </w:rPr>
            </w:pPr>
          </w:p>
          <w:p w14:paraId="550041D7" w14:textId="77777777" w:rsidR="00E4040E" w:rsidRDefault="00E4040E" w:rsidP="001B45CD">
            <w:pPr>
              <w:pStyle w:val="TableParagraph"/>
              <w:rPr>
                <w:b/>
                <w:sz w:val="20"/>
              </w:rPr>
            </w:pPr>
          </w:p>
          <w:p w14:paraId="05EAC1D5" w14:textId="77777777" w:rsidR="00E4040E" w:rsidRDefault="00E4040E" w:rsidP="001B45CD">
            <w:pPr>
              <w:pStyle w:val="TableParagraph"/>
              <w:spacing w:before="211"/>
              <w:rPr>
                <w:b/>
                <w:sz w:val="20"/>
              </w:rPr>
            </w:pPr>
          </w:p>
        </w:tc>
        <w:tc>
          <w:tcPr>
            <w:tcW w:w="10916" w:type="dxa"/>
          </w:tcPr>
          <w:p w14:paraId="1A1AAB00" w14:textId="77777777" w:rsidR="00E4040E" w:rsidRPr="001C41F2" w:rsidRDefault="00E4040E" w:rsidP="001B45CD">
            <w:pPr>
              <w:pStyle w:val="TableParagraph"/>
              <w:spacing w:before="41"/>
              <w:ind w:left="427"/>
              <w:jc w:val="both"/>
              <w:rPr>
                <w:sz w:val="24"/>
              </w:rPr>
            </w:pPr>
            <w:r w:rsidRPr="001C41F2">
              <w:rPr>
                <w:b/>
                <w:color w:val="001F5F"/>
                <w:sz w:val="24"/>
              </w:rPr>
              <w:t>Tadqiqot</w:t>
            </w:r>
            <w:r w:rsidRPr="001C41F2">
              <w:rPr>
                <w:b/>
                <w:color w:val="001F5F"/>
                <w:spacing w:val="-3"/>
                <w:sz w:val="24"/>
              </w:rPr>
              <w:t xml:space="preserve"> </w:t>
            </w:r>
            <w:r w:rsidRPr="001C41F2">
              <w:rPr>
                <w:b/>
                <w:color w:val="001F5F"/>
                <w:sz w:val="24"/>
              </w:rPr>
              <w:t>shakli:</w:t>
            </w:r>
            <w:r w:rsidRPr="001C41F2">
              <w:rPr>
                <w:b/>
                <w:color w:val="001F5F"/>
                <w:spacing w:val="1"/>
                <w:sz w:val="24"/>
              </w:rPr>
              <w:t xml:space="preserve"> </w:t>
            </w:r>
            <w:r w:rsidRPr="001C41F2">
              <w:rPr>
                <w:spacing w:val="-2"/>
                <w:sz w:val="24"/>
              </w:rPr>
              <w:t>Amaliy.</w:t>
            </w:r>
          </w:p>
          <w:p w14:paraId="0C1ECF55" w14:textId="77777777" w:rsidR="00E4040E" w:rsidRPr="001C41F2" w:rsidRDefault="00E4040E" w:rsidP="001B45CD">
            <w:pPr>
              <w:pStyle w:val="TableParagraph"/>
              <w:spacing w:before="39"/>
              <w:ind w:left="427"/>
              <w:jc w:val="both"/>
              <w:rPr>
                <w:b/>
                <w:sz w:val="24"/>
              </w:rPr>
            </w:pPr>
            <w:r w:rsidRPr="001C41F2">
              <w:rPr>
                <w:b/>
                <w:color w:val="001F5F"/>
                <w:sz w:val="24"/>
              </w:rPr>
              <w:t>Ilmiy</w:t>
            </w:r>
            <w:r w:rsidRPr="001C41F2">
              <w:rPr>
                <w:b/>
                <w:color w:val="001F5F"/>
                <w:spacing w:val="-2"/>
                <w:sz w:val="24"/>
              </w:rPr>
              <w:t xml:space="preserve"> </w:t>
            </w:r>
            <w:r w:rsidRPr="001C41F2">
              <w:rPr>
                <w:b/>
                <w:color w:val="001F5F"/>
                <w:sz w:val="24"/>
              </w:rPr>
              <w:t xml:space="preserve">tadqiqot </w:t>
            </w:r>
            <w:r w:rsidRPr="001C41F2">
              <w:rPr>
                <w:b/>
                <w:color w:val="001F5F"/>
                <w:spacing w:val="-2"/>
                <w:sz w:val="24"/>
              </w:rPr>
              <w:t>natijalari:</w:t>
            </w:r>
          </w:p>
          <w:p w14:paraId="1504A96D" w14:textId="38D2FA9B" w:rsidR="00E4040E" w:rsidRPr="001C41F2" w:rsidRDefault="00542B25" w:rsidP="001B45CD">
            <w:pPr>
              <w:pStyle w:val="TableParagraph"/>
              <w:ind w:left="108" w:right="96" w:firstLine="319"/>
              <w:jc w:val="both"/>
              <w:rPr>
                <w:sz w:val="24"/>
              </w:rPr>
            </w:pPr>
            <w:r w:rsidRPr="001C41F2">
              <w:rPr>
                <w:sz w:val="24"/>
              </w:rPr>
              <w:t xml:space="preserve">- </w:t>
            </w:r>
            <w:r w:rsidR="00E4040E" w:rsidRPr="001C41F2">
              <w:rPr>
                <w:sz w:val="24"/>
              </w:rPr>
              <w:t>respublikamizning turli tuproq-iqlim sharoitlaridagi sun’iy suv omborlari va baliq hovuzlari cho‘kma (loyqa)lari tarkibi laboratoriya sharoitida agrokimyoviy (gumus, makro va mikro elementlar) va toksikologik (og‘ir metallar (qo‘rg‘oshin, rux) va zaharli moddalar) tahlillar asosida aniqlanadi;</w:t>
            </w:r>
          </w:p>
          <w:p w14:paraId="6EE48141" w14:textId="5BD4F781" w:rsidR="00E4040E" w:rsidRPr="001C41F2" w:rsidRDefault="00542B25" w:rsidP="001B45CD">
            <w:pPr>
              <w:pStyle w:val="TableParagraph"/>
              <w:ind w:left="108" w:right="98" w:firstLine="319"/>
              <w:jc w:val="both"/>
              <w:rPr>
                <w:sz w:val="24"/>
              </w:rPr>
            </w:pPr>
            <w:r w:rsidRPr="001C41F2">
              <w:rPr>
                <w:sz w:val="24"/>
              </w:rPr>
              <w:t xml:space="preserve">- </w:t>
            </w:r>
            <w:r w:rsidR="00E4040E" w:rsidRPr="001C41F2">
              <w:rPr>
                <w:sz w:val="24"/>
              </w:rPr>
              <w:t>sun’iy suv omborlari va baliq hovuzlari cho‘kma (loyqa) lari turli hududlardagi degradatsiyaga chalingan, unumdorligi past (sho‘rlangan, eroziyalangan) sug‘oriladigan va lalmi ekin yerlari hamda qayta tiklanadigan (rekultvatsiya qilinadigan) va o‘zlashtiriladigan yerlarga kiritish orqali sinovdan o‘tkaziladi hamda uni ekin dalalariga qo‘llash usullari va me’yorlari ishlab chiqiladi;</w:t>
            </w:r>
          </w:p>
          <w:p w14:paraId="4F3F7F77" w14:textId="5DDDE64A" w:rsidR="00E4040E" w:rsidRPr="001C41F2" w:rsidRDefault="00542B25" w:rsidP="001B45CD">
            <w:pPr>
              <w:pStyle w:val="TableParagraph"/>
              <w:spacing w:before="1"/>
              <w:ind w:left="108" w:right="98" w:firstLine="319"/>
              <w:jc w:val="both"/>
              <w:rPr>
                <w:sz w:val="24"/>
              </w:rPr>
            </w:pPr>
            <w:r w:rsidRPr="001C41F2">
              <w:rPr>
                <w:sz w:val="24"/>
              </w:rPr>
              <w:t xml:space="preserve">- </w:t>
            </w:r>
            <w:r w:rsidR="00E4040E" w:rsidRPr="001C41F2">
              <w:rPr>
                <w:sz w:val="24"/>
              </w:rPr>
              <w:t>cho‘kma (loyqa)larini ekin maydonlari tuproqlarining xossa-xususiyatlari va meliorativ holatini yaxshilash, unumdorligini qayta tiklash va oshirish hamda qishloq xo‘jaligi ekinlari hosildorligiga ta’siri aniqlanadi;</w:t>
            </w:r>
          </w:p>
          <w:p w14:paraId="5209E4F3" w14:textId="222E9D9D" w:rsidR="00E4040E" w:rsidRPr="001C41F2" w:rsidRDefault="00542B25" w:rsidP="001B45CD">
            <w:pPr>
              <w:pStyle w:val="TableParagraph"/>
              <w:ind w:left="108" w:right="98" w:firstLine="319"/>
              <w:jc w:val="both"/>
              <w:rPr>
                <w:sz w:val="24"/>
              </w:rPr>
            </w:pPr>
            <w:r w:rsidRPr="001C41F2">
              <w:rPr>
                <w:sz w:val="24"/>
              </w:rPr>
              <w:t xml:space="preserve">- </w:t>
            </w:r>
            <w:r w:rsidR="00E4040E" w:rsidRPr="001C41F2">
              <w:rPr>
                <w:sz w:val="24"/>
              </w:rPr>
              <w:t>sun’iy suv omborlari va baliq hovuzlari cho‘kma (loyqa)larini ochiq dala va xonadonlar (qop, yashik va boshqa idishlar)da qishloq xo‘jaligi mahsulotlarini yetishtirish maqsadida qo‘llashning samaradorligiga doir ilmiy-amaliy tavsiyalar ishlab chiqiladi;</w:t>
            </w:r>
          </w:p>
          <w:p w14:paraId="60A12D9E" w14:textId="3B4DEB6D" w:rsidR="00E4040E" w:rsidRPr="001C41F2" w:rsidRDefault="00542B25" w:rsidP="001B45CD">
            <w:pPr>
              <w:pStyle w:val="TableParagraph"/>
              <w:ind w:left="108" w:right="97" w:firstLine="319"/>
              <w:jc w:val="both"/>
              <w:rPr>
                <w:sz w:val="24"/>
              </w:rPr>
            </w:pPr>
            <w:r w:rsidRPr="001C41F2">
              <w:rPr>
                <w:sz w:val="24"/>
              </w:rPr>
              <w:t xml:space="preserve">- </w:t>
            </w:r>
            <w:r w:rsidR="00E4040E" w:rsidRPr="001C41F2">
              <w:rPr>
                <w:sz w:val="24"/>
              </w:rPr>
              <w:t>turli dala (ochiq va yopiq) sharoitlarida qishloq xo‘jaligi ekinlarini yetishtirishda cho‘kma (loyqa)lardan organik o‘g‘it sifatida foydalanish agrotexnologiyasi ishlab chiqiladi.</w:t>
            </w:r>
          </w:p>
          <w:p w14:paraId="6071A34F" w14:textId="651BA7DE" w:rsidR="001C41F2" w:rsidRPr="001C41F2" w:rsidRDefault="001C41F2" w:rsidP="001C41F2">
            <w:pPr>
              <w:pStyle w:val="a5"/>
              <w:ind w:firstLine="651"/>
              <w:jc w:val="both"/>
              <w:rPr>
                <w:rFonts w:ascii="Times New Roman" w:hAnsi="Times New Roman"/>
                <w:noProof/>
                <w:sz w:val="26"/>
                <w:szCs w:val="26"/>
                <w:lang w:val="uz-Cyrl-UZ"/>
              </w:rPr>
            </w:pPr>
            <w:r w:rsidRPr="001C41F2">
              <w:rPr>
                <w:rFonts w:ascii="Times New Roman" w:hAnsi="Times New Roman"/>
                <w:b/>
                <w:noProof/>
                <w:color w:val="002060"/>
                <w:sz w:val="26"/>
                <w:szCs w:val="26"/>
                <w:lang w:val="uz-Cyrl-UZ"/>
              </w:rPr>
              <w:t>Natijalarni sinovdan oʻtkazish.</w:t>
            </w:r>
            <w:r w:rsidRPr="001C41F2">
              <w:rPr>
                <w:rFonts w:ascii="Times New Roman" w:hAnsi="Times New Roman"/>
                <w:noProof/>
                <w:color w:val="002060"/>
                <w:sz w:val="26"/>
                <w:szCs w:val="26"/>
                <w:lang w:val="uz-Cyrl-UZ"/>
              </w:rPr>
              <w:t xml:space="preserve"> </w:t>
            </w:r>
            <w:r w:rsidRPr="001C41F2">
              <w:rPr>
                <w:rFonts w:ascii="Times New Roman" w:hAnsi="Times New Roman"/>
                <w:noProof/>
                <w:sz w:val="26"/>
                <w:szCs w:val="26"/>
                <w:lang w:val="uz-Cyrl-UZ"/>
              </w:rPr>
              <w:t xml:space="preserve">Olingan natijalar </w:t>
            </w:r>
            <w:r w:rsidRPr="006E1BD2">
              <w:rPr>
                <w:rFonts w:ascii="Times New Roman" w:hAnsi="Times New Roman"/>
                <w:color w:val="000000" w:themeColor="text1"/>
                <w:sz w:val="24"/>
                <w:lang w:val="uz-Cyrl-UZ"/>
              </w:rPr>
              <w:t>Qishloq xo‘jaligi vazirligi</w:t>
            </w:r>
            <w:r w:rsidRPr="006E1BD2">
              <w:rPr>
                <w:rFonts w:ascii="Times New Roman" w:hAnsi="Times New Roman"/>
                <w:b/>
                <w:color w:val="000000" w:themeColor="text1"/>
                <w:sz w:val="24"/>
                <w:lang w:val="uz-Cyrl-UZ"/>
              </w:rPr>
              <w:t xml:space="preserve"> </w:t>
            </w:r>
            <w:r w:rsidRPr="001C41F2">
              <w:rPr>
                <w:rFonts w:ascii="Times New Roman" w:hAnsi="Times New Roman"/>
                <w:bCs/>
                <w:noProof/>
                <w:sz w:val="26"/>
                <w:szCs w:val="26"/>
                <w:lang w:val="uz-Cyrl-UZ"/>
              </w:rPr>
              <w:t>hamda ilmiy-tadqiqot institutlarida</w:t>
            </w:r>
            <w:r w:rsidRPr="001C41F2">
              <w:rPr>
                <w:rFonts w:ascii="Times New Roman" w:hAnsi="Times New Roman"/>
                <w:noProof/>
                <w:sz w:val="26"/>
                <w:szCs w:val="26"/>
                <w:lang w:val="uz-Cyrl-UZ"/>
              </w:rPr>
              <w:t xml:space="preserve"> sinovdan oʻtkaziladi va ularning amaliyotda foydalanish uchun qabul qilinganligi toʻgʻrisida </w:t>
            </w:r>
            <w:r w:rsidRPr="001C41F2">
              <w:rPr>
                <w:rFonts w:ascii="Times New Roman" w:hAnsi="Times New Roman"/>
                <w:b/>
                <w:color w:val="001F5F"/>
                <w:sz w:val="24"/>
                <w:lang w:val="uz-Cyrl-UZ"/>
              </w:rPr>
              <w:t>Qishloq xo‘jaligi vazirligi</w:t>
            </w:r>
            <w:r w:rsidRPr="001C41F2">
              <w:rPr>
                <w:rFonts w:ascii="Times New Roman" w:hAnsi="Times New Roman"/>
                <w:noProof/>
                <w:sz w:val="26"/>
                <w:szCs w:val="26"/>
                <w:lang w:val="uz-Cyrl-UZ"/>
              </w:rPr>
              <w:t>ning xulosasi olinadi.</w:t>
            </w:r>
            <w:r w:rsidRPr="001C41F2">
              <w:rPr>
                <w:rFonts w:ascii="Times New Roman" w:hAnsi="Times New Roman"/>
                <w:sz w:val="26"/>
                <w:szCs w:val="26"/>
                <w:lang w:val="uz-Cyrl-UZ"/>
              </w:rPr>
              <w:t>.</w:t>
            </w:r>
            <w:bookmarkStart w:id="0" w:name="_GoBack"/>
            <w:bookmarkEnd w:id="0"/>
          </w:p>
          <w:p w14:paraId="5871590C" w14:textId="77777777" w:rsidR="00E4040E" w:rsidRPr="001C41F2" w:rsidRDefault="00E4040E" w:rsidP="001B45CD">
            <w:pPr>
              <w:pStyle w:val="TableParagraph"/>
              <w:spacing w:before="39"/>
              <w:ind w:left="108" w:right="100" w:firstLine="651"/>
              <w:jc w:val="both"/>
              <w:rPr>
                <w:sz w:val="24"/>
              </w:rPr>
            </w:pPr>
            <w:r w:rsidRPr="001C41F2">
              <w:rPr>
                <w:b/>
                <w:color w:val="001F5F"/>
                <w:sz w:val="24"/>
              </w:rPr>
              <w:t xml:space="preserve">Ilmiy natijalarni chop etish. </w:t>
            </w:r>
            <w:r w:rsidRPr="001C41F2">
              <w:rPr>
                <w:sz w:val="24"/>
              </w:rPr>
              <w:t>Olingan tadqiqot natijalari intellektual mulk obyektlari uchun hujjatlar tayyorlanadi. Tadqiqot natijalari asosida tavsiyanomalar, qoʻllanmalar hamda nufuzli jurnallarda va Web of Science/Scopus maʼlumotlar bazasida indeksatsiyalangan jurnallarda maqolalar chop etiladi.</w:t>
            </w:r>
          </w:p>
          <w:p w14:paraId="76CFC3D6" w14:textId="77777777" w:rsidR="00E4040E" w:rsidRPr="001C41F2" w:rsidRDefault="00E4040E" w:rsidP="001B45CD">
            <w:pPr>
              <w:pStyle w:val="TableParagraph"/>
              <w:spacing w:before="21" w:line="270" w:lineRule="atLeast"/>
              <w:ind w:left="108" w:right="96" w:firstLine="651"/>
              <w:jc w:val="both"/>
              <w:rPr>
                <w:sz w:val="24"/>
              </w:rPr>
            </w:pPr>
            <w:r w:rsidRPr="001C41F2">
              <w:rPr>
                <w:b/>
                <w:color w:val="001F5F"/>
                <w:sz w:val="24"/>
              </w:rPr>
              <w:t xml:space="preserve">Izoh. </w:t>
            </w:r>
            <w:r w:rsidRPr="001C41F2">
              <w:rPr>
                <w:sz w:val="24"/>
              </w:rPr>
              <w:t xml:space="preserve">Ushbu mavzuga taqdim etiladigan ilmiy loyihalar </w:t>
            </w:r>
            <w:r w:rsidRPr="001C41F2">
              <w:rPr>
                <w:b/>
                <w:color w:val="001F5F"/>
                <w:sz w:val="24"/>
              </w:rPr>
              <w:t xml:space="preserve">Qishloq xo‘jaligi vazirligining </w:t>
            </w:r>
            <w:r w:rsidRPr="001C41F2">
              <w:rPr>
                <w:sz w:val="24"/>
              </w:rPr>
              <w:t>qoʻllab-quvvatlash xati mavjud boʻlganida qabul qilinadi.</w:t>
            </w:r>
          </w:p>
          <w:p w14:paraId="0F720E62" w14:textId="05C878D2" w:rsidR="001C41F2" w:rsidRDefault="001C41F2" w:rsidP="001C41F2">
            <w:pPr>
              <w:pStyle w:val="TableParagraph"/>
              <w:spacing w:before="2" w:line="276" w:lineRule="auto"/>
              <w:ind w:left="107" w:right="92" w:firstLine="708"/>
              <w:jc w:val="both"/>
              <w:rPr>
                <w:sz w:val="24"/>
              </w:rPr>
            </w:pPr>
          </w:p>
        </w:tc>
      </w:tr>
    </w:tbl>
    <w:p w14:paraId="220CE53B" w14:textId="77777777" w:rsidR="00E33B9C" w:rsidRDefault="00E33B9C"/>
    <w:sectPr w:rsidR="00E33B9C" w:rsidSect="00E4040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81"/>
    <w:rsid w:val="001C41F2"/>
    <w:rsid w:val="00542B25"/>
    <w:rsid w:val="006E1BD2"/>
    <w:rsid w:val="00A332B2"/>
    <w:rsid w:val="00C14081"/>
    <w:rsid w:val="00E33B9C"/>
    <w:rsid w:val="00E40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3F75"/>
  <w15:chartTrackingRefBased/>
  <w15:docId w15:val="{35BA2E6E-1C92-436D-8E2B-81B04040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040E"/>
    <w:pPr>
      <w:widowControl w:val="0"/>
      <w:autoSpaceDE w:val="0"/>
      <w:autoSpaceDN w:val="0"/>
      <w:spacing w:after="0" w:line="240" w:lineRule="auto"/>
    </w:pPr>
    <w:rPr>
      <w:rFonts w:ascii="Times New Roman" w:eastAsia="Times New Roman" w:hAnsi="Times New Roman" w:cs="Times New Roman"/>
      <w:lang w:val="az"/>
    </w:rPr>
  </w:style>
  <w:style w:type="paragraph" w:styleId="1">
    <w:name w:val="heading 1"/>
    <w:basedOn w:val="a"/>
    <w:link w:val="10"/>
    <w:uiPriority w:val="9"/>
    <w:qFormat/>
    <w:rsid w:val="00E4040E"/>
    <w:pPr>
      <w:spacing w:before="64"/>
      <w:ind w:right="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040E"/>
    <w:rPr>
      <w:rFonts w:ascii="Times New Roman" w:eastAsia="Times New Roman" w:hAnsi="Times New Roman" w:cs="Times New Roman"/>
      <w:b/>
      <w:bCs/>
      <w:sz w:val="28"/>
      <w:szCs w:val="28"/>
      <w:lang w:val="az"/>
    </w:rPr>
  </w:style>
  <w:style w:type="table" w:customStyle="1" w:styleId="TableNormal">
    <w:name w:val="Table Normal"/>
    <w:uiPriority w:val="2"/>
    <w:semiHidden/>
    <w:unhideWhenUsed/>
    <w:qFormat/>
    <w:rsid w:val="00E404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4040E"/>
    <w:rPr>
      <w:sz w:val="24"/>
      <w:szCs w:val="24"/>
    </w:rPr>
  </w:style>
  <w:style w:type="character" w:customStyle="1" w:styleId="a4">
    <w:name w:val="Основной текст Знак"/>
    <w:basedOn w:val="a0"/>
    <w:link w:val="a3"/>
    <w:uiPriority w:val="1"/>
    <w:rsid w:val="00E4040E"/>
    <w:rPr>
      <w:rFonts w:ascii="Times New Roman" w:eastAsia="Times New Roman" w:hAnsi="Times New Roman" w:cs="Times New Roman"/>
      <w:sz w:val="24"/>
      <w:szCs w:val="24"/>
      <w:lang w:val="az"/>
    </w:rPr>
  </w:style>
  <w:style w:type="paragraph" w:customStyle="1" w:styleId="TableParagraph">
    <w:name w:val="Table Paragraph"/>
    <w:basedOn w:val="a"/>
    <w:uiPriority w:val="1"/>
    <w:qFormat/>
    <w:rsid w:val="00E4040E"/>
  </w:style>
  <w:style w:type="paragraph" w:styleId="a5">
    <w:name w:val="No Spacing"/>
    <w:uiPriority w:val="1"/>
    <w:qFormat/>
    <w:rsid w:val="001C41F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2085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ComVi</dc:creator>
  <cp:keywords/>
  <dc:description/>
  <cp:lastModifiedBy>ComVi</cp:lastModifiedBy>
  <cp:revision>6</cp:revision>
  <dcterms:created xsi:type="dcterms:W3CDTF">2026-06-16T13:17:00Z</dcterms:created>
  <dcterms:modified xsi:type="dcterms:W3CDTF">2026-06-18T06:52:00Z</dcterms:modified>
</cp:coreProperties>
</file>