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62" w:rsidRPr="00C12785" w:rsidRDefault="00E86BC3">
      <w:pPr>
        <w:spacing w:after="6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Sohibqiron Amir Temurning bolalik yillari va hayotidagi muhim voqealarini aks ettiruvchi 20 qismli tarixiy-badiiy serial yaratish loyihasining</w:t>
      </w:r>
    </w:p>
    <w:p w:rsidR="006A0C62" w:rsidRPr="00C12785" w:rsidRDefault="00E86BC3">
      <w:pPr>
        <w:spacing w:after="3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TEXNIK TOPSHIRIGʻI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I. Umumiy qoidalar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 xml:space="preserve">1.1. </w:t>
      </w:r>
      <w:r w:rsidRPr="00C12785">
        <w:rPr>
          <w:sz w:val="24"/>
          <w:szCs w:val="24"/>
          <w:lang w:val="uz-Latn-UZ"/>
        </w:rPr>
        <w:t>Mazkur Texnik topshiriq (keyingi oʻrinlarda — TT) Sohibqiron Amir Temur (Temur ibn Taragʻay, 1336—1405)ning bolalik davri va butun hayoti davomidagi muhim voqealarini aks ettiruvchi 20 qismli tarixiy-badiiy serialni yaratishga oid mazmuniy, texnik va sifat talablarini belgilaydi.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1.2. TT Oʻzbekiston Respublikasi madani</w:t>
      </w:r>
      <w:r w:rsidR="00F4422E">
        <w:rPr>
          <w:sz w:val="24"/>
          <w:szCs w:val="24"/>
          <w:lang w:val="uz-Latn-UZ"/>
        </w:rPr>
        <w:t>yat vazirining 2026-yil ___-iyul</w:t>
      </w:r>
      <w:r w:rsidRPr="00C12785">
        <w:rPr>
          <w:sz w:val="24"/>
          <w:szCs w:val="24"/>
          <w:lang w:val="uz-Latn-UZ"/>
        </w:rPr>
        <w:t>dagi ___-son buyrugʻi ijrosini taʻminlash maqsadida hamda tegishli Konsepsiya loyihasiga muvofiq ishlab chiqilgan.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1.</w:t>
      </w:r>
      <w:r w:rsidR="00F4422E">
        <w:rPr>
          <w:sz w:val="24"/>
          <w:szCs w:val="24"/>
          <w:lang w:val="uz-Latn-UZ"/>
        </w:rPr>
        <w:t>3. Serial toʻliq sun’</w:t>
      </w:r>
      <w:r w:rsidRPr="00C12785">
        <w:rPr>
          <w:sz w:val="24"/>
          <w:szCs w:val="24"/>
          <w:lang w:val="uz-Latn-UZ"/>
        </w:rPr>
        <w:t>iy intellekt (SI) texnologiyalari yordamida yaratiladi: barcha vizual qator, ovozlar, musiqa va animatsion unsurlar generativ AI modellari orqali hosil qilinadi. An</w:t>
      </w:r>
      <w:r w:rsidR="00F4422E">
        <w:rPr>
          <w:sz w:val="24"/>
          <w:szCs w:val="24"/>
          <w:lang w:val="uz-Latn-UZ"/>
        </w:rPr>
        <w:t>’</w:t>
      </w:r>
      <w:r w:rsidRPr="00C12785">
        <w:rPr>
          <w:sz w:val="24"/>
          <w:szCs w:val="24"/>
          <w:lang w:val="uz-Latn-UZ"/>
        </w:rPr>
        <w:t>anaviy syomka jarayoni, aktyorlar va dekoratsiyalar loyihada qoʻllanilmaydi.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1.4. Loyihani amalga oshirish muddati — 3 oy (90 kun). Ishlab chiqarish bosqichlari va oraliq muddatlar 1.2-ilovada belgilangan.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1.5. Serialda aks ettiriladigan har bir obraz, voqea va detal tarixiy manbalarga tayangan boʻlishi hamda tarixshunos-ekspert xulosasi bilan tasdiqlangan boʻlishi shart.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II. Loyihaning qamrovi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2.1. Loyiha doirasida quyidagilar yaratiladi va buyurtmachiga topshiriladi: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Sohibqiron Amir Temurning turli yosh davrlarini (bolalik, yoshlik, yetuklik, keksalik) qamrab oluvchi raqamli obrazlar (AI-avatarlar) toʻplami;</w:t>
      </w:r>
    </w:p>
    <w:p w:rsidR="006A0C62" w:rsidRPr="00C12785" w:rsidRDefault="00F4422E">
      <w:pPr>
        <w:spacing w:after="140" w:line="300" w:lineRule="auto"/>
        <w:ind w:left="400"/>
        <w:jc w:val="both"/>
        <w:rPr>
          <w:lang w:val="uz-Latn-UZ"/>
        </w:rPr>
      </w:pPr>
      <w:r>
        <w:rPr>
          <w:sz w:val="24"/>
          <w:szCs w:val="24"/>
          <w:lang w:val="uz-Latn-UZ"/>
        </w:rPr>
        <w:t>— har biri 4</w:t>
      </w:r>
      <w:r w:rsidR="00E86BC3" w:rsidRPr="00C12785">
        <w:rPr>
          <w:sz w:val="24"/>
          <w:szCs w:val="24"/>
          <w:lang w:val="uz-Latn-UZ"/>
        </w:rPr>
        <w:t>—</w:t>
      </w:r>
      <w:r>
        <w:rPr>
          <w:sz w:val="24"/>
          <w:szCs w:val="24"/>
          <w:lang w:val="uz-Latn-UZ"/>
        </w:rPr>
        <w:t>7</w:t>
      </w:r>
      <w:r w:rsidR="00E86BC3" w:rsidRPr="00C12785">
        <w:rPr>
          <w:sz w:val="24"/>
          <w:szCs w:val="24"/>
          <w:lang w:val="uz-Latn-UZ"/>
        </w:rPr>
        <w:t xml:space="preserve"> daqiqalik 20 qismdan iborat tarixiy-badiiy serial;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har bir q</w:t>
      </w:r>
      <w:r w:rsidR="00F4422E">
        <w:rPr>
          <w:sz w:val="24"/>
          <w:szCs w:val="24"/>
          <w:lang w:val="uz-Latn-UZ"/>
        </w:rPr>
        <w:t>ismning oʻzbek</w:t>
      </w:r>
      <w:r w:rsidRPr="00C12785">
        <w:rPr>
          <w:sz w:val="24"/>
          <w:szCs w:val="24"/>
          <w:lang w:val="uz-Latn-UZ"/>
        </w:rPr>
        <w:t>, ingliz va rus tillaridagi dublyaj hamda subtitr versiyalari;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har bir qism uchun ijtimoiy tarmoqlarga moslashtirilgan 9:16 formatdagi vertikal treyler;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barcha manba fayllar, loyiha hujjatlari va ekspert xulosalari toʻplami.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2.2. Serial xronologik izchillikda Sohibqironning Keshda tugʻilishidan boshlab, bolalik va yoshlik davri</w:t>
      </w:r>
      <w:r w:rsidR="00070E27">
        <w:rPr>
          <w:sz w:val="24"/>
          <w:szCs w:val="24"/>
          <w:lang w:val="uz-Latn-UZ"/>
        </w:rPr>
        <w:t>(asosiy voqealar bolalik davrlarida kechadi.)</w:t>
      </w:r>
      <w:r w:rsidRPr="00C12785">
        <w:rPr>
          <w:sz w:val="24"/>
          <w:szCs w:val="24"/>
          <w:lang w:val="uz-Latn-UZ"/>
        </w:rPr>
        <w:t>, hokimiyat sari yoʻli, davlat qurilishi, harbiy yurishlari, diplomatik faoliyati, oilaviy hayoti, Samarqandni obod etishi hamda soʻnggi yillarigacha boʻlgan muhim voqealarni qamrab oladi. Qismlar oʻrtasidagi mazmuniy taqsimot Konsepsiya loyihasida belgilangan.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III. Raqamli obraz (AI-avatar)ga qoʻyiladigan talablar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3.1. Amir Temurning raqamli obrazi tarixiy man</w:t>
      </w:r>
      <w:r w:rsidR="00F4422E">
        <w:rPr>
          <w:sz w:val="24"/>
          <w:szCs w:val="24"/>
          <w:lang w:val="uz-Latn-UZ"/>
        </w:rPr>
        <w:t xml:space="preserve">balar, antropologik tadqiqotlar </w:t>
      </w:r>
      <w:r w:rsidRPr="00C12785">
        <w:rPr>
          <w:sz w:val="24"/>
          <w:szCs w:val="24"/>
          <w:lang w:val="uz-Latn-UZ"/>
        </w:rPr>
        <w:t>va davr ikonografiyasi asosida yaratiladi.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lastRenderedPageBreak/>
        <w:t>3.2. Serial qahramonning butun umrini qamrab olishi sababli, avatar kamida toʻrtta yosh bosqichida (bolalik, yoshlik, yetuklik, keksalik) ishlab chiqiladi; barcha bosqichlarda chehra oʻxshashligi va shaxsiy belgilar uzviyligi saqlanadi.</w:t>
      </w:r>
      <w:r w:rsidR="00C316AA">
        <w:rPr>
          <w:sz w:val="24"/>
          <w:szCs w:val="24"/>
          <w:lang w:val="uz-Latn-UZ"/>
        </w:rPr>
        <w:t xml:space="preserve"> Asosiy voqealar Sohibqironning bolalik davrlarida kechadi.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3.3. Raqamli obrazga qoʻyiladigan majburiy talablar: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a) yuz ifodasi, mimika va tana harakatlari tabiiy boʻlishi, "uncanny valley" effektiga yoʻl qoʻyilmasligi;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b) generatsiya qilingan kadrlar deformatsiya, miltillash va boshqa SI artefaktlaridan toʻliq tozalanishi;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d) ovoz sintezi qahramonning yoshi, davri va tabiatiga mos boʻlishi, sunʻiy ohang sezilmasligi;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e) nutq va lab harakatlari sinxronligi (lip-sync) kamida 95% aniqlikda taʻminlanishi;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f) avatarning har bir yosh bosqichi boʻyicha tarixshunos-ekspert xulosasi taqdim etilishi.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3.4. Ikkinchi darajali tarixiy shaxslar (ota-onasi, safdoshlari, raqiblari va boshqalar) obrazlari ham xuddi shu sifat mezonlari asosida, biroq soddalashtirilgan hajmda yaratiladi.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IV. Serial mazmuniga qoʻyiladigan talablar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4.1. Har bir qism mustaqil dramaturgik tuzilishga (kirish, rivojlanish, avj nuqtasi, yechim) ega boʻlishi hamda umumiy syujet chizigʻi bilan uzviy bogʻlanishi shart.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4.2. Ssenariylarga qoʻyiladigan talablar: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a) har bir qism ssenariysi tarixiy manbalar asosida yozilishi;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b) badiiy toʻqima tarixiy faktlarning mohiyatini buzmasligi;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d) dialoglar zamonaviy tomoshabin uchun tushunarli, ayni paytda davr ruhini aks ettiruvchi tilda yozilishi;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e) har bir qism yakunida keyingi qismga qiziqish uygʻotuvchi mantiqiy koʻprik boʻlishi.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4.3. Serial yosh avlodda milliy gʻurur, vatanparvarlik va tarixiy xotirani mustahkamlashga xizmat qilishi, zoʻravonlik sahnalarini estetik meʻyorlar doirasida, yosh toifasiga mos tarzda aks ettirishi lozim.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V. Texnologik talablar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5.1. Loyihada quyidagi yoʻnalishlar boʻyicha zamonaviy SI yechimlaridan foydalaniladi: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video generatsiyasi — Sora, Veo, Kling Pro Enterprise, Runway darajasidagi modellar;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raqamli obraz va portret rekonstruksiyasi — neyron render texnologiyalari;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ovoz sintezi va klonlash — ElevenLabs Enterprise yoki unga teng platformalar;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lastRenderedPageBreak/>
        <w:t>— tasvir generatsiyasi (concept-art, fonlar) — Midjourney, Flux Pro, Adobe Firefly;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musiqa va saundtrek — Suno Pro, Udio Pro;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ssenariy va matn ishlovi — Claude, GPT-4o, Gemini kabi til modellari;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3D muhitlar — Luma AI, NeRF, Gaussian Splatting;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yakuniy sayqallash — Topaz Video AI, Magnific va shu kabi vositalar.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5.2. Ijrochi sanab oʻtilgan vositalarga teng yoki undan yuqori natija beruvchi muqobil SI yechimlarini buyurtmachi bilan kelishilgan holda qoʻllashi mumkin.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5.3. Barcha SI xizmatlaridan tijorat maqsadida foydalanish huquqini beruvchi litsenziyalar asosida foydalaniladi.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VI. Vizual va texnik parametrlar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6.1. Yakuniy materiallarga qoʻyiladigan vizual-texnik parametrlar 1.1-ilovada keltirilgan boʻlib, ular barcha 20 qism uchun majburiy hisoblanadi.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VII. Ishlab chiqarish bosqichlari va muddatlar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7.1. Loyiha 3 oy (90 kun) davomida bosqichma-bosqich amalga oshiriladi; bosqichlar tarkibi va muddatlari 1.2-ilovada keltirilgan.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7.2. Har bir bosqich yakunida ijrochi buyurtmachiga oraliq natijalarni namoyish etadi</w:t>
      </w:r>
      <w:r w:rsidR="00F4422E">
        <w:rPr>
          <w:sz w:val="24"/>
          <w:szCs w:val="24"/>
          <w:lang w:val="uz-Latn-UZ"/>
        </w:rPr>
        <w:t>.</w:t>
      </w: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VIII. Sifat nazorati va qabul qilish tartibi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8.1. Tayyor materiallar quyidagi tarkibdagi ekspert guruhi tomonidan koʻrib chiqiladi: Madaniyat vazirligi vakili, tarixshunos olim, kinoshunos-mutaxassis, SI texnologiyalari boʻyicha texnik ekspert va huquqshunos.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8.2. Qabul qilishning asosiy mezonlari: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tarixiy haqqoniylik — barcha faktlar manbalar bilan tasdiqlangan;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vizual sifat — 1.1-ilovadagi parametrlarga toʻliq muvofiqlik;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lip-sync aniqligi — kamida 95%;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SI artefaktlari — yakuniy materialda mavjud emas;</w:t>
      </w:r>
    </w:p>
    <w:p w:rsidR="006A0C62" w:rsidRPr="00C12785" w:rsidRDefault="00E86BC3">
      <w:pPr>
        <w:spacing w:after="140" w:line="300" w:lineRule="auto"/>
        <w:ind w:left="400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— lokalizatsiya — uch tildagi dublyaj va subtitrlarning toʻliqligi va sifati.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8.3. Aniqlangan kamchiliklar ijrochi tomonidan 5 ish kuni ichida bartaraf etiladi. Yakuniy qabul maxsus komissiya tomonidan amalga oshirilib, dalolatnoma bilan rasmiylashtiriladi.</w:t>
      </w:r>
    </w:p>
    <w:p w:rsidR="00C316AA" w:rsidRDefault="00C316AA">
      <w:pPr>
        <w:spacing w:before="320" w:after="220"/>
        <w:jc w:val="center"/>
        <w:rPr>
          <w:b/>
          <w:bCs/>
          <w:sz w:val="24"/>
          <w:szCs w:val="24"/>
          <w:lang w:val="uz-Latn-UZ"/>
        </w:rPr>
      </w:pPr>
    </w:p>
    <w:p w:rsidR="00C316AA" w:rsidRDefault="00C316AA">
      <w:pPr>
        <w:spacing w:before="320" w:after="220"/>
        <w:jc w:val="center"/>
        <w:rPr>
          <w:b/>
          <w:bCs/>
          <w:sz w:val="24"/>
          <w:szCs w:val="24"/>
          <w:lang w:val="uz-Latn-UZ"/>
        </w:rPr>
      </w:pPr>
    </w:p>
    <w:p w:rsidR="006A0C62" w:rsidRPr="00C12785" w:rsidRDefault="00E86BC3">
      <w:pPr>
        <w:spacing w:before="320" w:after="22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lastRenderedPageBreak/>
        <w:t>IX. Intellektual mulk va huquqiy shartlar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9.1. Loyiha doirasida yaratilgan barcha natijalar — raqamli obrazlar, ovoz modellari, ssenariylar, video, audio va grafik materiallar — Oʻzbekiston Respublikasi Madaniyat vazirligining mutlaq mulki hisoblanadi.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9.2. Ijrochi foydalanilgan barcha SI vositalari va uchinchi shaxs materiallari boʻyicha tegishli litsenziya hujjatlarini taqdim etadi hamda mualliflik huquqi toʻgʻrisidagi qonunchilikka toʻliq rioya etilishini kafolatlaydi.</w:t>
      </w:r>
    </w:p>
    <w:p w:rsidR="006A0C62" w:rsidRPr="00C12785" w:rsidRDefault="00E86BC3">
      <w:pPr>
        <w:spacing w:after="200" w:line="300" w:lineRule="auto"/>
        <w:jc w:val="both"/>
        <w:rPr>
          <w:lang w:val="uz-Latn-UZ"/>
        </w:rPr>
      </w:pPr>
      <w:r w:rsidRPr="00C12785">
        <w:rPr>
          <w:sz w:val="24"/>
          <w:szCs w:val="24"/>
          <w:lang w:val="uz-Latn-UZ"/>
        </w:rPr>
        <w:t>9.3. Sohibqiron Amir Temur obrazidan foydalanishda milliy qadriyatlar, tarixiy shaxs sha</w:t>
      </w:r>
      <w:r w:rsidR="00C316AA">
        <w:rPr>
          <w:sz w:val="24"/>
          <w:szCs w:val="24"/>
          <w:lang w:val="uz-Latn-UZ"/>
        </w:rPr>
        <w:t>’</w:t>
      </w:r>
      <w:r w:rsidRPr="00C12785">
        <w:rPr>
          <w:sz w:val="24"/>
          <w:szCs w:val="24"/>
          <w:lang w:val="uz-Latn-UZ"/>
        </w:rPr>
        <w:t>ni va qadr-qimmatini hurmat qilish talablariga soʻzsiz amal qilinadi.</w:t>
      </w:r>
    </w:p>
    <w:p w:rsidR="006A0C62" w:rsidRPr="00C12785" w:rsidRDefault="006A0C62">
      <w:pPr>
        <w:pageBreakBefore/>
        <w:rPr>
          <w:lang w:val="uz-Latn-UZ"/>
        </w:rPr>
      </w:pPr>
    </w:p>
    <w:p w:rsidR="006A0C62" w:rsidRPr="00C12785" w:rsidRDefault="00E86BC3">
      <w:pPr>
        <w:spacing w:after="280"/>
        <w:jc w:val="center"/>
        <w:rPr>
          <w:lang w:val="uz-Latn-UZ"/>
        </w:rPr>
      </w:pPr>
      <w:r w:rsidRPr="00C12785">
        <w:rPr>
          <w:b/>
          <w:bCs/>
          <w:sz w:val="24"/>
          <w:szCs w:val="24"/>
          <w:lang w:val="uz-Latn-UZ"/>
        </w:rPr>
        <w:t>Serialning barcha qismlariga qoʻyiladigan vizual va texnik parametrlar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6000"/>
      </w:tblGrid>
      <w:tr w:rsidR="00C12785" w:rsidRPr="00C12785">
        <w:trPr>
          <w:tblHeader/>
        </w:trPr>
        <w:tc>
          <w:tcPr>
            <w:tcW w:w="34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Koʻrsatkich</w:t>
            </w:r>
          </w:p>
        </w:tc>
        <w:tc>
          <w:tcPr>
            <w:tcW w:w="60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Texnik talab</w:t>
            </w:r>
          </w:p>
        </w:tc>
      </w:tr>
      <w:tr w:rsidR="00C12785" w:rsidRPr="00C12785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Har bir qism davomiyligi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C12785" w:rsidP="00C12785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4</w:t>
            </w:r>
            <w:r w:rsidR="00E86BC3" w:rsidRPr="00C12785">
              <w:rPr>
                <w:sz w:val="22"/>
                <w:szCs w:val="22"/>
                <w:lang w:val="uz-Latn-UZ"/>
              </w:rPr>
              <w:t>—</w:t>
            </w:r>
            <w:r w:rsidRPr="00C12785">
              <w:rPr>
                <w:sz w:val="22"/>
                <w:szCs w:val="22"/>
                <w:lang w:val="uz-Latn-UZ"/>
              </w:rPr>
              <w:t>7</w:t>
            </w:r>
            <w:r w:rsidR="00E86BC3" w:rsidRPr="00C12785">
              <w:rPr>
                <w:sz w:val="22"/>
                <w:szCs w:val="22"/>
                <w:lang w:val="uz-Latn-UZ"/>
              </w:rPr>
              <w:t xml:space="preserve"> daqiqa</w:t>
            </w:r>
          </w:p>
        </w:tc>
      </w:tr>
      <w:tr w:rsidR="00C12785" w:rsidRPr="00C12785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Tasvir oʻlchamlari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4K UHD (3840 × 2160), tomonlar nisbati 16:9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Kadrlar chastotasi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25 fps (PAL); harakatli sahnalar uchun 50 fps ruxsat etiladi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Video kodek va bitreyt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H.265 (HEVC) yoki H.264; kamida 30 Mbit/s</w:t>
            </w:r>
          </w:p>
        </w:tc>
      </w:tr>
      <w:tr w:rsidR="00C12785" w:rsidRPr="00C12785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Fayl konteyneri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MP4 yoki MOV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Rang chuqurligi va profil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10-bit; Rec. 709 (Rec. 2020 qoʻllanilishi mumkin)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Audio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Stereo, 48 kHz, 24-bit; AAC kodekda kamida 320 kbit/s</w:t>
            </w:r>
          </w:p>
        </w:tc>
      </w:tr>
      <w:tr w:rsidR="00C12785" w:rsidRPr="00C12785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Ovoz balandligi meʻyori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−14 LUFS (striming platformalari standarti)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Subtitrlar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SRT yoki VTT formatida, har bir til uchun alohida fayl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Tillar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Oʻzbek (lotin va kirill), ingliz, rus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Lip-sync aniqligi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Kamida 95% (avtomatik sinxronlash + qoʻlda tuzatish)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Qoʻshimcha versiyalar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Har bir qismning 9:16 vertikal treyleri (Reels, TikTok, Shorts uchun)</w:t>
            </w:r>
          </w:p>
        </w:tc>
      </w:tr>
      <w:tr w:rsidR="00C12785" w:rsidRPr="001C0880">
        <w:tc>
          <w:tcPr>
            <w:tcW w:w="3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SI artefaktlari</w:t>
            </w:r>
          </w:p>
        </w:tc>
        <w:tc>
          <w:tcPr>
            <w:tcW w:w="6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Yakuniy materialda deformatsiya, miltillash va boshqa artefaktlarga yoʻl qoʻyilmaydi</w:t>
            </w:r>
          </w:p>
        </w:tc>
      </w:tr>
    </w:tbl>
    <w:p w:rsidR="001C0880" w:rsidRDefault="001C0880">
      <w:pPr>
        <w:spacing w:after="280"/>
        <w:jc w:val="center"/>
        <w:rPr>
          <w:b/>
          <w:bCs/>
          <w:sz w:val="24"/>
          <w:szCs w:val="24"/>
          <w:lang w:val="uz-Latn-UZ"/>
        </w:rPr>
      </w:pPr>
    </w:p>
    <w:p w:rsidR="006A0C62" w:rsidRPr="00C12785" w:rsidRDefault="00E86BC3">
      <w:pPr>
        <w:spacing w:after="280"/>
        <w:jc w:val="center"/>
        <w:rPr>
          <w:lang w:val="uz-Latn-UZ"/>
        </w:rPr>
      </w:pPr>
      <w:bookmarkStart w:id="0" w:name="_GoBack"/>
      <w:bookmarkEnd w:id="0"/>
      <w:r w:rsidRPr="00C12785">
        <w:rPr>
          <w:b/>
          <w:bCs/>
          <w:sz w:val="24"/>
          <w:szCs w:val="24"/>
          <w:lang w:val="uz-Latn-UZ"/>
        </w:rPr>
        <w:t>Ishlab chiqarish bosqichlari va muddatlari (loyiha muddati — 3 oy)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2298"/>
        <w:gridCol w:w="4394"/>
        <w:gridCol w:w="1998"/>
      </w:tblGrid>
      <w:tr w:rsidR="00C12785" w:rsidRPr="00C12785" w:rsidTr="00F449A5">
        <w:trPr>
          <w:tblHeader/>
        </w:trPr>
        <w:tc>
          <w:tcPr>
            <w:tcW w:w="496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T/r</w:t>
            </w:r>
          </w:p>
        </w:tc>
        <w:tc>
          <w:tcPr>
            <w:tcW w:w="23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Bosqich</w:t>
            </w:r>
          </w:p>
        </w:tc>
        <w:tc>
          <w:tcPr>
            <w:tcW w:w="44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Bajariladigan ishlar</w:t>
            </w:r>
          </w:p>
        </w:tc>
        <w:tc>
          <w:tcPr>
            <w:tcW w:w="2000" w:type="dxa"/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b/>
                <w:bCs/>
                <w:sz w:val="22"/>
                <w:szCs w:val="22"/>
                <w:lang w:val="uz-Latn-UZ"/>
              </w:rPr>
              <w:t>Muddati</w:t>
            </w:r>
          </w:p>
        </w:tc>
      </w:tr>
      <w:tr w:rsidR="00C12785" w:rsidRPr="00C12785" w:rsidTr="00F449A5">
        <w:tc>
          <w:tcPr>
            <w:tcW w:w="4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</w:t>
            </w:r>
          </w:p>
        </w:tc>
        <w:tc>
          <w:tcPr>
            <w:tcW w:w="23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Tayyorgarlik va ssenariy</w:t>
            </w:r>
          </w:p>
        </w:tc>
        <w:tc>
          <w:tcPr>
            <w:tcW w:w="4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Tarixiy-arxiv manbalarni toʻplash va tahlil qilish; 20 qismning umumiy syujet xaritasi va har bir qism ssenariysini ishlab chiqish; prompt strategiyasini shakllantirish; ijodiy jamoani jalb etish</w:t>
            </w:r>
          </w:p>
        </w:tc>
        <w:tc>
          <w:tcPr>
            <w:tcW w:w="2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1-oy, 1—3-haftalar</w:t>
            </w:r>
          </w:p>
        </w:tc>
      </w:tr>
      <w:tr w:rsidR="00C12785" w:rsidRPr="00C12785" w:rsidTr="00F449A5">
        <w:tc>
          <w:tcPr>
            <w:tcW w:w="4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2</w:t>
            </w:r>
          </w:p>
        </w:tc>
        <w:tc>
          <w:tcPr>
            <w:tcW w:w="23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Raqamli obraz yaratish</w:t>
            </w:r>
          </w:p>
        </w:tc>
        <w:tc>
          <w:tcPr>
            <w:tcW w:w="4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Amir Temurning turli yosh davrlaridagi (bolalik, yoshlik, yetuklik, keksalik) AI-avatarlarini ishlab chiqish; ovozni sintez qilish; sinov sahnalarini tayyorlash va tasdiqlatish</w:t>
            </w:r>
          </w:p>
        </w:tc>
        <w:tc>
          <w:tcPr>
            <w:tcW w:w="2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1-oy, 3—4-haftalar</w:t>
            </w:r>
          </w:p>
        </w:tc>
      </w:tr>
      <w:tr w:rsidR="00C12785" w:rsidRPr="00C12785" w:rsidTr="00F449A5">
        <w:tc>
          <w:tcPr>
            <w:tcW w:w="4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3</w:t>
            </w:r>
          </w:p>
        </w:tc>
        <w:tc>
          <w:tcPr>
            <w:tcW w:w="23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F449A5">
            <w:pPr>
              <w:rPr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Ishlab chiqarish (1-bosqich</w:t>
            </w:r>
            <w:r w:rsidR="00E86BC3" w:rsidRPr="00C12785">
              <w:rPr>
                <w:sz w:val="22"/>
                <w:szCs w:val="22"/>
                <w:lang w:val="uz-Latn-UZ"/>
              </w:rPr>
              <w:t>)</w:t>
            </w:r>
          </w:p>
        </w:tc>
        <w:tc>
          <w:tcPr>
            <w:tcW w:w="4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1—10-qismlar boʻyicha video generatsiya, montaj, ovozlashtirish, musiqa, rang korreksiyasi va tarixiy ekspertiza</w:t>
            </w:r>
          </w:p>
        </w:tc>
        <w:tc>
          <w:tcPr>
            <w:tcW w:w="2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2-oy</w:t>
            </w:r>
          </w:p>
        </w:tc>
      </w:tr>
      <w:tr w:rsidR="00C12785" w:rsidRPr="00C12785" w:rsidTr="00F449A5">
        <w:tc>
          <w:tcPr>
            <w:tcW w:w="4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4</w:t>
            </w:r>
          </w:p>
        </w:tc>
        <w:tc>
          <w:tcPr>
            <w:tcW w:w="23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F449A5">
            <w:pPr>
              <w:rPr>
                <w:lang w:val="uz-Latn-UZ"/>
              </w:rPr>
            </w:pPr>
            <w:r>
              <w:rPr>
                <w:sz w:val="22"/>
                <w:szCs w:val="22"/>
                <w:lang w:val="uz-Latn-UZ"/>
              </w:rPr>
              <w:t>Ishlab chiqarish (2-bosqich</w:t>
            </w:r>
            <w:r w:rsidR="00E86BC3" w:rsidRPr="00C12785">
              <w:rPr>
                <w:sz w:val="22"/>
                <w:szCs w:val="22"/>
                <w:lang w:val="uz-Latn-UZ"/>
              </w:rPr>
              <w:t>)</w:t>
            </w:r>
          </w:p>
        </w:tc>
        <w:tc>
          <w:tcPr>
            <w:tcW w:w="4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11—20-qismlar boʻyicha video generatsiya, montaj, ovozlashtirish, musiqa, rang korreksiyasi va tarixiy ekspertiza</w:t>
            </w:r>
          </w:p>
        </w:tc>
        <w:tc>
          <w:tcPr>
            <w:tcW w:w="2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3-oy, 1—3-haftalar</w:t>
            </w:r>
          </w:p>
        </w:tc>
      </w:tr>
      <w:tr w:rsidR="00C12785" w:rsidRPr="00C12785" w:rsidTr="00F449A5">
        <w:tc>
          <w:tcPr>
            <w:tcW w:w="49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jc w:val="center"/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5</w:t>
            </w:r>
          </w:p>
        </w:tc>
        <w:tc>
          <w:tcPr>
            <w:tcW w:w="23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Yakuniy qabul va topshirish</w:t>
            </w:r>
          </w:p>
        </w:tc>
        <w:tc>
          <w:tcPr>
            <w:tcW w:w="44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2E375E" w:rsidRDefault="00A32780" w:rsidP="00A32780">
            <w:pPr>
              <w:rPr>
                <w:lang w:val="uz-Latn-UZ"/>
              </w:rPr>
            </w:pPr>
            <w:r w:rsidRPr="002E375E">
              <w:rPr>
                <w:sz w:val="22"/>
                <w:szCs w:val="24"/>
                <w:lang w:val="uz-Latn-UZ"/>
              </w:rPr>
              <w:t>Ekspertlar komissiyasi tomonidan barcha materiallarni koʻrib chiqish, tuzatishlar, yakuniy qabul va dalolatnoma rasmiylashtirish</w:t>
            </w:r>
          </w:p>
        </w:tc>
        <w:tc>
          <w:tcPr>
            <w:tcW w:w="200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6A0C62" w:rsidRPr="00C12785" w:rsidRDefault="00E86BC3">
            <w:pPr>
              <w:rPr>
                <w:lang w:val="uz-Latn-UZ"/>
              </w:rPr>
            </w:pPr>
            <w:r w:rsidRPr="00C12785">
              <w:rPr>
                <w:sz w:val="22"/>
                <w:szCs w:val="22"/>
                <w:lang w:val="uz-Latn-UZ"/>
              </w:rPr>
              <w:t>3-oy, 4-hafta</w:t>
            </w:r>
          </w:p>
        </w:tc>
      </w:tr>
    </w:tbl>
    <w:p w:rsidR="00E86BC3" w:rsidRPr="00C12785" w:rsidRDefault="00E86BC3">
      <w:pPr>
        <w:rPr>
          <w:lang w:val="uz-Latn-UZ"/>
        </w:rPr>
      </w:pPr>
    </w:p>
    <w:sectPr w:rsidR="00E86BC3" w:rsidRPr="00C1278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0D49"/>
    <w:multiLevelType w:val="hybridMultilevel"/>
    <w:tmpl w:val="BF28158A"/>
    <w:lvl w:ilvl="0" w:tplc="C8449252">
      <w:start w:val="1"/>
      <w:numFmt w:val="bullet"/>
      <w:lvlText w:val="●"/>
      <w:lvlJc w:val="left"/>
      <w:pPr>
        <w:ind w:left="720" w:hanging="360"/>
      </w:pPr>
    </w:lvl>
    <w:lvl w:ilvl="1" w:tplc="D5CC75EE">
      <w:start w:val="1"/>
      <w:numFmt w:val="bullet"/>
      <w:lvlText w:val="○"/>
      <w:lvlJc w:val="left"/>
      <w:pPr>
        <w:ind w:left="1440" w:hanging="360"/>
      </w:pPr>
    </w:lvl>
    <w:lvl w:ilvl="2" w:tplc="C0CCF732">
      <w:start w:val="1"/>
      <w:numFmt w:val="bullet"/>
      <w:lvlText w:val="■"/>
      <w:lvlJc w:val="left"/>
      <w:pPr>
        <w:ind w:left="2160" w:hanging="360"/>
      </w:pPr>
    </w:lvl>
    <w:lvl w:ilvl="3" w:tplc="BAB2B240">
      <w:start w:val="1"/>
      <w:numFmt w:val="bullet"/>
      <w:lvlText w:val="●"/>
      <w:lvlJc w:val="left"/>
      <w:pPr>
        <w:ind w:left="2880" w:hanging="360"/>
      </w:pPr>
    </w:lvl>
    <w:lvl w:ilvl="4" w:tplc="D6E0C90C">
      <w:start w:val="1"/>
      <w:numFmt w:val="bullet"/>
      <w:lvlText w:val="○"/>
      <w:lvlJc w:val="left"/>
      <w:pPr>
        <w:ind w:left="3600" w:hanging="360"/>
      </w:pPr>
    </w:lvl>
    <w:lvl w:ilvl="5" w:tplc="521C5C7E">
      <w:start w:val="1"/>
      <w:numFmt w:val="bullet"/>
      <w:lvlText w:val="■"/>
      <w:lvlJc w:val="left"/>
      <w:pPr>
        <w:ind w:left="4320" w:hanging="360"/>
      </w:pPr>
    </w:lvl>
    <w:lvl w:ilvl="6" w:tplc="D2B88110">
      <w:start w:val="1"/>
      <w:numFmt w:val="bullet"/>
      <w:lvlText w:val="●"/>
      <w:lvlJc w:val="left"/>
      <w:pPr>
        <w:ind w:left="5040" w:hanging="360"/>
      </w:pPr>
    </w:lvl>
    <w:lvl w:ilvl="7" w:tplc="E39EA21C">
      <w:start w:val="1"/>
      <w:numFmt w:val="bullet"/>
      <w:lvlText w:val="●"/>
      <w:lvlJc w:val="left"/>
      <w:pPr>
        <w:ind w:left="5760" w:hanging="360"/>
      </w:pPr>
    </w:lvl>
    <w:lvl w:ilvl="8" w:tplc="974470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62"/>
    <w:rsid w:val="00070E27"/>
    <w:rsid w:val="001C0880"/>
    <w:rsid w:val="002E375E"/>
    <w:rsid w:val="002F5009"/>
    <w:rsid w:val="0054765D"/>
    <w:rsid w:val="006A0C62"/>
    <w:rsid w:val="00732549"/>
    <w:rsid w:val="00961DA3"/>
    <w:rsid w:val="00A32780"/>
    <w:rsid w:val="00C12785"/>
    <w:rsid w:val="00C316AA"/>
    <w:rsid w:val="00E86BC3"/>
    <w:rsid w:val="00F4422E"/>
    <w:rsid w:val="00F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A4A5"/>
  <w15:docId w15:val="{FEC4DB8A-BD88-436C-B1C0-AA0C651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27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Jamoliddin Uraimov</cp:lastModifiedBy>
  <cp:revision>8</cp:revision>
  <dcterms:created xsi:type="dcterms:W3CDTF">2026-07-13T06:21:00Z</dcterms:created>
  <dcterms:modified xsi:type="dcterms:W3CDTF">2026-07-14T04:14:00Z</dcterms:modified>
</cp:coreProperties>
</file>